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adjustRightInd w:val="0"/>
        <w:snapToGrid w:val="0"/>
        <w:spacing w:before="0" w:beforeAutospacing="0" w:after="0" w:afterAutospacing="0"/>
        <w:jc w:val="center"/>
        <w:rPr>
          <w:rStyle w:val="13"/>
          <w:rFonts w:hint="eastAsia" w:ascii="方正小标宋简体" w:eastAsia="方正小标宋简体"/>
          <w:b w:val="0"/>
          <w:bCs w:val="0"/>
          <w:sz w:val="44"/>
          <w:szCs w:val="44"/>
        </w:rPr>
      </w:pPr>
    </w:p>
    <w:p>
      <w:pPr>
        <w:pStyle w:val="9"/>
        <w:adjustRightInd w:val="0"/>
        <w:snapToGrid w:val="0"/>
        <w:spacing w:before="0" w:beforeAutospacing="0" w:after="0" w:afterAutospacing="0" w:line="348" w:lineRule="auto"/>
        <w:jc w:val="center"/>
        <w:rPr>
          <w:rFonts w:hint="eastAsia" w:ascii="楷体" w:hAnsi="楷体" w:eastAsia="楷体" w:cs="仿宋_GB2312"/>
          <w:kern w:val="2"/>
          <w:sz w:val="32"/>
          <w:szCs w:val="32"/>
        </w:rPr>
      </w:pPr>
    </w:p>
    <w:p>
      <w:pPr>
        <w:pStyle w:val="9"/>
        <w:adjustRightInd w:val="0"/>
        <w:snapToGrid w:val="0"/>
        <w:spacing w:before="0" w:beforeAutospacing="0" w:after="0" w:afterAutospacing="0" w:line="348" w:lineRule="auto"/>
        <w:jc w:val="center"/>
        <w:rPr>
          <w:rFonts w:ascii="楷体" w:hAnsi="楷体" w:eastAsia="楷体" w:cs="仿宋_GB2312"/>
          <w:kern w:val="2"/>
          <w:sz w:val="32"/>
          <w:szCs w:val="32"/>
        </w:rPr>
      </w:pPr>
      <w:r>
        <w:rPr>
          <w:rFonts w:hint="eastAsia" w:ascii="楷体" w:hAnsi="楷体" w:eastAsia="楷体" w:cs="仿宋_GB2312"/>
          <w:kern w:val="2"/>
          <w:sz w:val="32"/>
          <w:szCs w:val="32"/>
        </w:rPr>
        <w:t>闽社科规办[2020]1号</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jc w:val="center"/>
        <w:rPr>
          <w:rStyle w:val="13"/>
          <w:rFonts w:hint="eastAsia" w:ascii="方正小标宋简体" w:eastAsia="方正小标宋简体"/>
          <w:b w:val="0"/>
          <w:bCs w:val="0"/>
          <w:sz w:val="44"/>
          <w:szCs w:val="44"/>
        </w:rPr>
      </w:pPr>
      <w:r>
        <w:rPr>
          <w:rStyle w:val="13"/>
          <w:rFonts w:hint="eastAsia" w:ascii="方正小标宋简体" w:eastAsia="方正小标宋简体"/>
          <w:b w:val="0"/>
          <w:bCs w:val="0"/>
          <w:sz w:val="44"/>
          <w:szCs w:val="44"/>
        </w:rPr>
        <w:t>关于印发实施《福建省社会科学规划</w:t>
      </w:r>
    </w:p>
    <w:p>
      <w:pPr>
        <w:pStyle w:val="9"/>
        <w:adjustRightInd w:val="0"/>
        <w:snapToGrid w:val="0"/>
        <w:spacing w:before="0" w:beforeAutospacing="0" w:after="0" w:afterAutospacing="0"/>
        <w:jc w:val="center"/>
        <w:rPr>
          <w:rStyle w:val="13"/>
          <w:rFonts w:ascii="方正小标宋简体" w:eastAsia="方正小标宋简体"/>
          <w:b w:val="0"/>
          <w:bCs w:val="0"/>
          <w:sz w:val="44"/>
          <w:szCs w:val="44"/>
        </w:rPr>
      </w:pPr>
      <w:r>
        <w:rPr>
          <w:rStyle w:val="13"/>
          <w:rFonts w:hint="eastAsia" w:ascii="方正小标宋简体" w:eastAsia="方正小标宋简体"/>
          <w:b w:val="0"/>
          <w:bCs w:val="0"/>
          <w:sz w:val="44"/>
          <w:szCs w:val="44"/>
        </w:rPr>
        <w:t>项目鉴定结项实施细则》的通知</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line="348" w:lineRule="auto"/>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各相关单位科研管理部门：</w:t>
      </w:r>
    </w:p>
    <w:p>
      <w:pPr>
        <w:pStyle w:val="9"/>
        <w:adjustRightInd w:val="0"/>
        <w:snapToGrid w:val="0"/>
        <w:spacing w:before="0" w:beforeAutospacing="0" w:after="0" w:afterAutospacing="0" w:line="348" w:lineRule="auto"/>
        <w:rPr>
          <w:rFonts w:hint="eastAsia" w:ascii="仿宋_GB2312" w:hAnsi="Calibri" w:eastAsia="仿宋_GB2312" w:cs="仿宋_GB2312"/>
          <w:spacing w:val="-8"/>
          <w:kern w:val="2"/>
          <w:sz w:val="32"/>
          <w:szCs w:val="32"/>
        </w:rPr>
      </w:pPr>
      <w:r>
        <w:rPr>
          <w:rFonts w:hint="eastAsia" w:ascii="仿宋_GB2312" w:hAnsi="Calibri" w:eastAsia="仿宋_GB2312" w:cs="仿宋_GB2312"/>
          <w:kern w:val="2"/>
          <w:sz w:val="32"/>
          <w:szCs w:val="32"/>
        </w:rPr>
        <w:t xml:space="preserve">    经省社科联党组研究同意，现将《</w:t>
      </w:r>
      <w:r>
        <w:rPr>
          <w:rFonts w:hint="eastAsia" w:ascii="仿宋_GB2312" w:hAnsi="Calibri" w:eastAsia="仿宋_GB2312" w:cs="仿宋_GB2312"/>
          <w:spacing w:val="-8"/>
          <w:kern w:val="2"/>
          <w:sz w:val="32"/>
          <w:szCs w:val="32"/>
        </w:rPr>
        <w:t>福建省社会科学规划</w:t>
      </w:r>
    </w:p>
    <w:p>
      <w:pPr>
        <w:pStyle w:val="9"/>
        <w:adjustRightInd w:val="0"/>
        <w:snapToGrid w:val="0"/>
        <w:spacing w:before="0" w:beforeAutospacing="0" w:after="0" w:afterAutospacing="0" w:line="348" w:lineRule="auto"/>
        <w:rPr>
          <w:rFonts w:ascii="仿宋_GB2312" w:hAnsi="Calibri" w:eastAsia="仿宋_GB2312" w:cs="仿宋_GB2312"/>
          <w:spacing w:val="-8"/>
          <w:kern w:val="2"/>
          <w:sz w:val="32"/>
          <w:szCs w:val="32"/>
        </w:rPr>
      </w:pPr>
      <w:r>
        <w:rPr>
          <w:rFonts w:hint="eastAsia" w:ascii="仿宋_GB2312" w:hAnsi="Calibri" w:eastAsia="仿宋_GB2312" w:cs="仿宋_GB2312"/>
          <w:spacing w:val="-8"/>
          <w:kern w:val="2"/>
          <w:sz w:val="32"/>
          <w:szCs w:val="32"/>
        </w:rPr>
        <w:t>项目鉴定结项实施细则</w:t>
      </w:r>
      <w:r>
        <w:rPr>
          <w:rFonts w:hint="eastAsia" w:ascii="仿宋_GB2312" w:hAnsi="Calibri" w:eastAsia="仿宋_GB2312" w:cs="仿宋_GB2312"/>
          <w:kern w:val="2"/>
          <w:sz w:val="32"/>
          <w:szCs w:val="32"/>
        </w:rPr>
        <w:t>》印发给你们，请认真贯彻执行。</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r>
        <w:rPr>
          <w:rFonts w:hint="eastAsia" w:ascii="仿宋_GB2312" w:hAnsi="Calibri" w:eastAsia="仿宋_GB2312" w:cs="仿宋_GB2312"/>
          <w:kern w:val="2"/>
          <w:sz w:val="32"/>
          <w:szCs w:val="32"/>
        </w:rPr>
        <w:t xml:space="preserve">               福建省社会科学规划办公室</w:t>
      </w:r>
    </w:p>
    <w:p>
      <w:pPr>
        <w:pStyle w:val="9"/>
        <w:adjustRightInd w:val="0"/>
        <w:snapToGrid w:val="0"/>
        <w:spacing w:before="0" w:beforeAutospacing="0" w:after="0" w:afterAutospacing="0" w:line="348" w:lineRule="auto"/>
        <w:jc w:val="center"/>
        <w:rPr>
          <w:rFonts w:hint="eastAsia" w:ascii="仿宋_GB2312" w:hAnsi="Calibri" w:eastAsia="仿宋_GB2312" w:cs="仿宋_GB2312"/>
          <w:kern w:val="2"/>
          <w:sz w:val="32"/>
          <w:szCs w:val="32"/>
        </w:rPr>
      </w:pPr>
      <w:r>
        <w:rPr>
          <w:rFonts w:hint="eastAsia" w:ascii="仿宋_GB2312" w:hAnsi="Calibri" w:eastAsia="仿宋_GB2312" w:cs="仿宋_GB2312"/>
          <w:kern w:val="2"/>
          <w:sz w:val="32"/>
          <w:szCs w:val="32"/>
        </w:rPr>
        <w:t xml:space="preserve">               2020年3月17日</w:t>
      </w:r>
    </w:p>
    <w:p>
      <w:pPr>
        <w:pStyle w:val="9"/>
        <w:adjustRightInd w:val="0"/>
        <w:snapToGrid w:val="0"/>
        <w:spacing w:before="0" w:beforeAutospacing="0" w:after="0" w:afterAutospacing="0" w:line="348" w:lineRule="auto"/>
        <w:jc w:val="center"/>
        <w:rPr>
          <w:rFonts w:ascii="仿宋_GB2312" w:hAnsi="Calibri" w:eastAsia="仿宋_GB2312" w:cs="仿宋_GB2312"/>
          <w:kern w:val="2"/>
          <w:sz w:val="32"/>
          <w:szCs w:val="32"/>
        </w:rPr>
      </w:pPr>
    </w:p>
    <w:p>
      <w:pPr>
        <w:pStyle w:val="9"/>
        <w:adjustRightInd w:val="0"/>
        <w:snapToGrid w:val="0"/>
        <w:spacing w:before="0" w:beforeAutospacing="0" w:after="0" w:afterAutospacing="0" w:line="348" w:lineRule="auto"/>
        <w:jc w:val="center"/>
        <w:rPr>
          <w:rFonts w:ascii="仿宋_GB2312" w:hAnsi="Calibri" w:eastAsia="仿宋_GB2312" w:cs="仿宋_GB2312"/>
          <w:spacing w:val="-8"/>
          <w:kern w:val="2"/>
          <w:sz w:val="32"/>
          <w:szCs w:val="32"/>
        </w:rPr>
      </w:pPr>
      <w:r>
        <w:rPr>
          <w:rFonts w:hint="eastAsia" w:ascii="仿宋_GB2312" w:hAnsi="Calibri" w:eastAsia="仿宋_GB2312" w:cs="仿宋_GB2312"/>
          <w:kern w:val="2"/>
          <w:sz w:val="32"/>
          <w:szCs w:val="32"/>
        </w:rPr>
        <w:t>附件：</w:t>
      </w:r>
      <w:r>
        <w:rPr>
          <w:rFonts w:hint="eastAsia" w:ascii="仿宋_GB2312" w:hAnsi="Calibri" w:eastAsia="仿宋_GB2312" w:cs="仿宋_GB2312"/>
          <w:spacing w:val="-8"/>
          <w:kern w:val="2"/>
          <w:sz w:val="32"/>
          <w:szCs w:val="32"/>
        </w:rPr>
        <w:t>福建省社会科学规划项目鉴定结项实施细则</w:t>
      </w:r>
    </w:p>
    <w:p>
      <w:pPr>
        <w:pStyle w:val="9"/>
        <w:spacing w:before="156" w:beforeLines="50"/>
        <w:jc w:val="center"/>
        <w:rPr>
          <w:rStyle w:val="13"/>
          <w:rFonts w:ascii="方正小标宋简体" w:eastAsia="方正小标宋简体"/>
          <w:b w:val="0"/>
          <w:bCs w:val="0"/>
          <w:sz w:val="44"/>
          <w:szCs w:val="44"/>
        </w:rPr>
      </w:pPr>
    </w:p>
    <w:p>
      <w:pPr>
        <w:pStyle w:val="9"/>
        <w:spacing w:before="156" w:beforeLines="50"/>
        <w:jc w:val="center"/>
        <w:rPr>
          <w:rStyle w:val="13"/>
          <w:rFonts w:hint="eastAsia" w:ascii="方正小标宋简体" w:eastAsia="方正小标宋简体"/>
          <w:b w:val="0"/>
          <w:bCs w:val="0"/>
          <w:sz w:val="44"/>
          <w:szCs w:val="44"/>
        </w:rPr>
      </w:pPr>
    </w:p>
    <w:p>
      <w:pPr>
        <w:pStyle w:val="9"/>
        <w:spacing w:before="156" w:beforeLines="50"/>
        <w:jc w:val="both"/>
        <w:rPr>
          <w:rStyle w:val="13"/>
          <w:rFonts w:ascii="方正小标宋简体" w:eastAsia="方正小标宋简体"/>
          <w:b w:val="0"/>
          <w:bCs w:val="0"/>
          <w:sz w:val="44"/>
          <w:szCs w:val="44"/>
        </w:rPr>
      </w:pPr>
    </w:p>
    <w:p>
      <w:pPr>
        <w:pStyle w:val="9"/>
        <w:spacing w:before="0" w:beforeAutospacing="0" w:after="0" w:afterAutospacing="0"/>
        <w:rPr>
          <w:rFonts w:ascii="黑体" w:hAnsi="黑体" w:eastAsia="黑体" w:cs="仿宋_GB2312"/>
          <w:spacing w:val="-8"/>
          <w:kern w:val="2"/>
          <w:sz w:val="32"/>
          <w:szCs w:val="32"/>
        </w:rPr>
      </w:pPr>
      <w:r>
        <w:rPr>
          <w:rFonts w:hint="eastAsia" w:ascii="黑体" w:hAnsi="黑体" w:eastAsia="黑体" w:cs="仿宋_GB2312"/>
          <w:spacing w:val="-8"/>
          <w:kern w:val="2"/>
          <w:sz w:val="32"/>
          <w:szCs w:val="32"/>
        </w:rPr>
        <w:t>附件</w:t>
      </w:r>
    </w:p>
    <w:p>
      <w:pPr>
        <w:adjustRightInd w:val="0"/>
        <w:snapToGrid w:val="0"/>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福建省社会科学规划项目</w:t>
      </w:r>
    </w:p>
    <w:p>
      <w:pPr>
        <w:adjustRightInd w:val="0"/>
        <w:snapToGrid w:val="0"/>
        <w:jc w:val="center"/>
        <w:rPr>
          <w:rFonts w:hint="eastAsia" w:ascii="方正小标宋简体" w:hAnsi="仿宋" w:eastAsia="方正小标宋简体" w:cs="黑体"/>
          <w:color w:val="000000"/>
          <w:sz w:val="44"/>
          <w:szCs w:val="44"/>
        </w:rPr>
      </w:pPr>
      <w:r>
        <w:rPr>
          <w:rFonts w:hint="eastAsia" w:ascii="方正小标宋简体" w:hAnsi="黑体" w:eastAsia="方正小标宋简体" w:cs="黑体"/>
          <w:color w:val="000000"/>
          <w:sz w:val="44"/>
          <w:szCs w:val="44"/>
        </w:rPr>
        <w:t>鉴定结项实施细则</w:t>
      </w:r>
    </w:p>
    <w:p>
      <w:pPr>
        <w:jc w:val="center"/>
        <w:rPr>
          <w:rFonts w:hint="eastAsia" w:ascii="楷体" w:hAnsi="楷体" w:eastAsia="楷体" w:cs="宋体"/>
          <w:color w:val="000000"/>
          <w:sz w:val="28"/>
          <w:szCs w:val="28"/>
        </w:rPr>
      </w:pPr>
      <w:r>
        <w:rPr>
          <w:rFonts w:hint="eastAsia" w:ascii="楷体" w:hAnsi="楷体" w:eastAsia="楷体" w:cs="宋体"/>
          <w:color w:val="000000"/>
          <w:sz w:val="28"/>
          <w:szCs w:val="28"/>
        </w:rPr>
        <w:t>（2020年2月26日经省社科联党组会议研究通过）</w:t>
      </w:r>
    </w:p>
    <w:p>
      <w:pPr>
        <w:rPr>
          <w:rFonts w:hint="eastAsia" w:ascii="楷体" w:hAnsi="楷体" w:eastAsia="楷体" w:cs="宋体"/>
          <w:color w:val="000000"/>
          <w:sz w:val="24"/>
          <w:szCs w:val="24"/>
        </w:rPr>
      </w:pPr>
    </w:p>
    <w:p>
      <w:pPr>
        <w:adjustRightInd w:val="0"/>
        <w:snapToGrid w:val="0"/>
        <w:spacing w:line="348" w:lineRule="auto"/>
        <w:rPr>
          <w:rFonts w:hint="eastAsia" w:ascii="仿宋_GB2312" w:hAnsi="宋体" w:eastAsia="仿宋_GB2312" w:cs="宋体"/>
          <w:color w:val="000000"/>
          <w:sz w:val="32"/>
          <w:szCs w:val="32"/>
        </w:rPr>
      </w:pPr>
      <w:r>
        <w:rPr>
          <w:rFonts w:hint="eastAsia" w:ascii="宋体" w:hAnsi="宋体" w:cs="宋体"/>
          <w:color w:val="000000"/>
          <w:sz w:val="24"/>
          <w:szCs w:val="24"/>
        </w:rPr>
        <w:t xml:space="preserve">   </w:t>
      </w:r>
      <w:r>
        <w:rPr>
          <w:rFonts w:hint="eastAsia" w:ascii="仿宋_GB2312" w:hAnsi="宋体" w:eastAsia="仿宋_GB2312" w:cs="宋体"/>
          <w:color w:val="000000"/>
          <w:sz w:val="32"/>
          <w:szCs w:val="32"/>
        </w:rPr>
        <w:t xml:space="preserve">  </w:t>
      </w:r>
      <w:r>
        <w:rPr>
          <w:rFonts w:hint="eastAsia" w:ascii="仿宋_GB2312" w:hAnsi="宋体" w:eastAsia="仿宋_GB2312" w:cs="宋体"/>
          <w:b/>
          <w:bCs/>
          <w:color w:val="000000"/>
          <w:sz w:val="32"/>
          <w:szCs w:val="32"/>
        </w:rPr>
        <w:t>第一条</w:t>
      </w:r>
      <w:r>
        <w:rPr>
          <w:rFonts w:hint="eastAsia" w:ascii="仿宋_GB2312" w:hAnsi="宋体" w:eastAsia="仿宋_GB2312" w:cs="宋体"/>
          <w:color w:val="000000"/>
          <w:sz w:val="32"/>
          <w:szCs w:val="32"/>
        </w:rPr>
        <w:t xml:space="preserve">  为进一步加强和规范福建省社会科学规划项目（以下简称“省社科规划项目”）鉴定结项工作，严把省社科规划项目最终成果（以下简称“最终成果”）的政治方向关和学术质量关，根据《福建省社会科学规划项目管理办法》（2019年5月修订）的有关规定，修订本实施细则。</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第二条</w:t>
      </w:r>
      <w:r>
        <w:rPr>
          <w:rFonts w:hint="eastAsia" w:ascii="仿宋_GB2312" w:hAnsi="宋体" w:eastAsia="仿宋_GB2312" w:cs="宋体"/>
          <w:color w:val="000000"/>
          <w:sz w:val="32"/>
          <w:szCs w:val="32"/>
        </w:rPr>
        <w:t xml:space="preserve">  项目鉴定结项工作是省社科规划项目管理工作重要组成部分，做好这项工作是提高最终成果质量，促进多出优秀成果、多出优秀人才的重要手段和保障。</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项目鉴定结项工作由福建省社会科学规划办公室（以下简称“省社科规划办”）负责组织实施，特殊情况除外。科研管理部门负责项目结项材料及最终研究成果审核和报送工作。</w:t>
      </w:r>
    </w:p>
    <w:p>
      <w:pPr>
        <w:adjustRightInd w:val="0"/>
        <w:snapToGrid w:val="0"/>
        <w:spacing w:line="348" w:lineRule="auto"/>
        <w:ind w:firstLine="643" w:firstLineChars="200"/>
        <w:rPr>
          <w:rFonts w:hint="eastAsia" w:ascii="黑体" w:hAnsi="黑体" w:eastAsia="黑体" w:cs="宋体"/>
          <w:bCs/>
          <w:color w:val="000000"/>
          <w:sz w:val="32"/>
          <w:szCs w:val="32"/>
        </w:rPr>
      </w:pPr>
      <w:r>
        <w:rPr>
          <w:rFonts w:hint="eastAsia" w:ascii="仿宋_GB2312" w:hAnsi="宋体" w:eastAsia="仿宋_GB2312" w:cs="宋体"/>
          <w:b/>
          <w:bCs/>
          <w:color w:val="000000"/>
          <w:sz w:val="32"/>
          <w:szCs w:val="32"/>
        </w:rPr>
        <w:t xml:space="preserve">第三条  </w:t>
      </w:r>
      <w:r>
        <w:rPr>
          <w:rFonts w:hint="eastAsia" w:ascii="仿宋_GB2312" w:hAnsi="宋体" w:eastAsia="仿宋_GB2312" w:cs="宋体"/>
          <w:color w:val="000000"/>
          <w:sz w:val="32"/>
          <w:szCs w:val="32"/>
        </w:rPr>
        <w:t>省社科规划项目的结项条件为：</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（一）省社科规划年度项目及省社科研究基地项目</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1.预立项年度重大项目，结项时项目负责人需提供一份研究报告的最终成果（与项目研究内容一致），字数不少于2.5万字。</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2.基础研究项目成果形式为论文集的：</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重大项目、重点项目的负责人及课题组成员至少要在本科高等院校学报以上学术期刊公开发表5篇（含）以上与项目研究内容相关的学术论文，其中在CSSCI来源期刊（不含扩展版）、北大中文核心期刊上发表不少于2篇；</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（2）一般项目、青年项目、</w:t>
      </w:r>
      <w:bookmarkStart w:id="0" w:name="OLE_LINK1"/>
      <w:r>
        <w:rPr>
          <w:rFonts w:hint="eastAsia" w:ascii="仿宋_GB2312" w:hAnsi="宋体" w:eastAsia="仿宋_GB2312" w:cs="宋体"/>
          <w:color w:val="000000"/>
          <w:sz w:val="32"/>
          <w:szCs w:val="32"/>
        </w:rPr>
        <w:t>西部扶持项目、台胞专项扶持</w:t>
      </w:r>
      <w:bookmarkEnd w:id="0"/>
      <w:r>
        <w:rPr>
          <w:rFonts w:hint="eastAsia" w:ascii="仿宋_GB2312" w:hAnsi="宋体" w:eastAsia="仿宋_GB2312" w:cs="宋体"/>
          <w:color w:val="000000"/>
          <w:sz w:val="32"/>
          <w:szCs w:val="32"/>
        </w:rPr>
        <w:t>项目的负责人及课题组成员至少要在本科高等院校学报以上学术期刊公开发表3</w:t>
      </w:r>
      <w:bookmarkStart w:id="2" w:name="_GoBack"/>
      <w:bookmarkEnd w:id="2"/>
      <w:r>
        <w:rPr>
          <w:rFonts w:hint="eastAsia" w:ascii="仿宋_GB2312" w:hAnsi="宋体" w:eastAsia="仿宋_GB2312" w:cs="宋体"/>
          <w:color w:val="000000"/>
          <w:sz w:val="32"/>
          <w:szCs w:val="32"/>
        </w:rPr>
        <w:t>篇（含）以上与项目研究内容相关的学术论文，其中在CSSCI来源期刊（不含扩展版）、北大中文核心期刊上发表不少于1篇；</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（3）结项时项目负责人需提供一篇论文的最终成果（与项目研究内容一致），字数不得少于1万字。</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3.基础研究项目成果形式为专著的：</w:t>
      </w:r>
    </w:p>
    <w:p>
      <w:pPr>
        <w:widowControl/>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（1）项目负责人及课题组成员至少要在本科高等院校学报以上学术期刊公开发表1篇（含）以上与项目研究内容相关的学术论文；</w:t>
      </w:r>
    </w:p>
    <w:p>
      <w:pPr>
        <w:widowControl/>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结项时项目负责人需提供一部书稿的最终成果（与项目研究内容一致）。重大项目、重点项目的最终成果字数不少于10万字，一般项目、青年项目、西部扶持项目、台胞专项扶持项目的最终成果字数不少于8万字；</w:t>
      </w:r>
    </w:p>
    <w:p>
      <w:pPr>
        <w:widowControl/>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（3）允许最终成果先出版后结项，结项时项目负责人需提供一部由出版社正式出版的专著。</w:t>
      </w:r>
    </w:p>
    <w:p>
      <w:pPr>
        <w:adjustRightInd w:val="0"/>
        <w:snapToGrid w:val="0"/>
        <w:spacing w:line="348" w:lineRule="auto"/>
        <w:ind w:firstLine="640" w:firstLineChars="200"/>
        <w:rPr>
          <w:rFonts w:hint="eastAsia" w:ascii="仿宋_GB2312" w:hAnsi="宋体" w:eastAsia="仿宋_GB2312" w:cs="宋体"/>
          <w:color w:val="000000"/>
          <w:sz w:val="32"/>
          <w:szCs w:val="32"/>
        </w:rPr>
      </w:pPr>
      <w:bookmarkStart w:id="1" w:name="OLE_LINK2"/>
      <w:r>
        <w:rPr>
          <w:rFonts w:hint="eastAsia" w:ascii="仿宋_GB2312" w:hAnsi="宋体" w:eastAsia="仿宋_GB2312" w:cs="宋体"/>
          <w:color w:val="000000"/>
          <w:sz w:val="32"/>
          <w:szCs w:val="32"/>
        </w:rPr>
        <w:t>4.应用研究项目成果形式为研究报告的：</w:t>
      </w:r>
    </w:p>
    <w:p>
      <w:pPr>
        <w:adjustRightInd w:val="0"/>
        <w:snapToGrid w:val="0"/>
        <w:spacing w:line="348"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项目研究提出的理论观点、政策建议原则上要获得省直机关有关单位负责人、设区市党委政府在职领导的肯定性批示或被省直机关有关单位、设区市党委政府采纳吸收才能结项。相关证明材料须加盖采纳单位公章。</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结项时项目负责人需提供一份研究报告的最终成果（与项目研究内容一致）。重大项目、重点项目的最终成果字数不少于2.5万字，一般项目、青年项目、西部扶持项目、台胞专项扶持项目的最终成果字数不少于1.5万字。</w:t>
      </w:r>
    </w:p>
    <w:bookmarkEnd w:id="1"/>
    <w:p>
      <w:pPr>
        <w:adjustRightInd w:val="0"/>
        <w:snapToGrid w:val="0"/>
        <w:spacing w:line="336"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（二）后期资助等项目</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后期资助、省社科普及出版资助等项目的最终成果鉴定结项，按照申报公告或通知的要求办理结项。</w:t>
      </w:r>
    </w:p>
    <w:p>
      <w:pPr>
        <w:adjustRightInd w:val="0"/>
        <w:snapToGrid w:val="0"/>
        <w:spacing w:line="336"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（三）特别委托项目</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（1）省委省政府领导交办的或省社科联工作需要提出的特别委托项目，项目经费由省社科规划专项经费资助的，参照上述结项条件执行。</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有关部门工作需要提出的特别委托项目且项目经费由委托单位资助的，鉴定结项由委托单位负责组织实施。项目负责人应将项目结项申请材料提交委托单位，省社科规划办依据委托单位出具的结项佐证材料办理结项。</w:t>
      </w:r>
    </w:p>
    <w:p>
      <w:pPr>
        <w:adjustRightInd w:val="0"/>
        <w:snapToGrid w:val="0"/>
        <w:spacing w:line="336" w:lineRule="auto"/>
        <w:ind w:firstLine="480" w:firstLineChars="15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（四）涉密项目</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项目最终成果涉密的，项目负责人应当遵守《中华人民共和国保守国家秘密法》《福建省社会科学规划涉密项目管理办法》的有关保密规定，参照上述结项条件执行。</w:t>
      </w:r>
    </w:p>
    <w:p>
      <w:pPr>
        <w:adjustRightInd w:val="0"/>
        <w:snapToGrid w:val="0"/>
        <w:spacing w:line="336" w:lineRule="auto"/>
        <w:ind w:firstLine="643" w:firstLineChars="200"/>
        <w:rPr>
          <w:rFonts w:hint="eastAsia" w:ascii="仿宋_GB2312" w:hAnsi="宋体" w:eastAsia="仿宋_GB2312" w:cs="宋体"/>
          <w:color w:val="000000"/>
          <w:sz w:val="32"/>
          <w:szCs w:val="32"/>
        </w:rPr>
      </w:pPr>
      <w:r>
        <w:rPr>
          <w:rFonts w:hint="eastAsia" w:ascii="仿宋_GB2312" w:eastAsia="仿宋_GB2312"/>
          <w:b/>
          <w:bCs/>
          <w:color w:val="000000"/>
          <w:sz w:val="32"/>
          <w:szCs w:val="32"/>
        </w:rPr>
        <w:t xml:space="preserve">第四条 </w:t>
      </w:r>
      <w:r>
        <w:rPr>
          <w:rFonts w:hint="eastAsia" w:ascii="仿宋_GB2312" w:hAnsi="宋体" w:eastAsia="仿宋_GB2312" w:cs="宋体"/>
          <w:color w:val="000000"/>
          <w:sz w:val="32"/>
          <w:szCs w:val="32"/>
        </w:rPr>
        <w:t xml:space="preserve"> 项目负责人为第一署名或作者，且研究内容与项目相关的成果符合下列条件之一，可以申请免于鉴定：</w:t>
      </w:r>
    </w:p>
    <w:p>
      <w:pPr>
        <w:pStyle w:val="2"/>
        <w:adjustRightInd w:val="0"/>
        <w:snapToGrid w:val="0"/>
        <w:spacing w:line="348" w:lineRule="auto"/>
        <w:ind w:firstLine="640" w:firstLineChars="20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重大项目、重点项目的阶段性成果在权威期刊（权威期刊名单以省社科规划办发布的期刊为准）发表1篇（含）以上与项目研究内容相关的学术论文；与项目研究内容相关的学术论文被《新华文摘》（含网络版期刊）《中国社会科学文摘》《高等学校文科学术文摘》全文转摘的；在《人民日报》《光明日报》《经济日报》和《求是》上发表1篇（含）以上与项目研究内容相关的理论文章的；项目研究提出的理论观点、政策建议得到在职省部级（含）以上党委政府领导肯定性批示并被有关部门采纳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一般项目、青年项目、西部扶持项目、台胞专项扶持项目的阶段性成果在CSSCI来源期刊（不含扩展版）上发表2篇（含）以上与项目研究内容相关的学术论文的；在《人民日报》《光明日报》《经济日报》和《求是》上发表1篇（含）以上与项目研究内容相关的理论文章的；项目研究提出的理论观点、政策建议得到在职省部级（含）以上领导肯定性批示并被有关部门采纳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以研究报告形式结项的项目阶段性成果入选《福建省社科规划项目成果要报》、省委办公厅《八闽快讯》（专报件）、省委政策研究室《调研文稿》、省政府发展研究中心《研究报告》、省委改革办《福建改革财经情况》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4.项目成果获得我省设区市社会科学优秀成果奖一等奖奖励的，或省部级社会科学优秀成果奖三等奖以上（含三等奖及青年佳作奖）奖励的；</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5.最终成果由国家一级出版社出版的（具体出版社按照国家新闻出版总署网站发布的最新名单）；</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6.特别委托项目原则上参照上述免于鉴定条件办理，特殊情况除外。</w:t>
      </w:r>
    </w:p>
    <w:p>
      <w:pPr>
        <w:adjustRightInd w:val="0"/>
        <w:snapToGrid w:val="0"/>
        <w:spacing w:line="348" w:lineRule="auto"/>
        <w:ind w:firstLine="560"/>
        <w:rPr>
          <w:rFonts w:hint="eastAsia" w:ascii="仿宋_GB2312" w:hAnsi="宋体" w:eastAsia="仿宋_GB2312" w:cs="宋体"/>
          <w:color w:val="FF0000"/>
          <w:sz w:val="32"/>
          <w:szCs w:val="32"/>
          <w:u w:val="single"/>
        </w:rPr>
      </w:pPr>
      <w:r>
        <w:rPr>
          <w:rFonts w:hint="eastAsia" w:ascii="仿宋_GB2312" w:eastAsia="仿宋_GB2312"/>
          <w:b/>
          <w:bCs/>
          <w:color w:val="000000"/>
          <w:sz w:val="32"/>
          <w:szCs w:val="32"/>
        </w:rPr>
        <w:t xml:space="preserve">第五条  </w:t>
      </w:r>
      <w:r>
        <w:rPr>
          <w:rFonts w:hint="eastAsia" w:ascii="仿宋_GB2312" w:hAnsi="宋体" w:eastAsia="仿宋_GB2312" w:cs="宋体"/>
          <w:color w:val="000000"/>
          <w:sz w:val="32"/>
          <w:szCs w:val="32"/>
        </w:rPr>
        <w:t>项目申请结项时需提交最终成果查重检测报告（全文标明引文报告或去除本人已发表文献复制比报告）。查重检测率≥20%的项目不予受理。</w:t>
      </w:r>
    </w:p>
    <w:p>
      <w:pPr>
        <w:adjustRightInd w:val="0"/>
        <w:snapToGrid w:val="0"/>
        <w:spacing w:line="348" w:lineRule="auto"/>
        <w:ind w:firstLine="720" w:firstLineChars="225"/>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所有与项目研究内容相关的阶段性成果需标注“福建省社科规划项目批准号”。</w:t>
      </w:r>
    </w:p>
    <w:p>
      <w:pPr>
        <w:adjustRightInd w:val="0"/>
        <w:snapToGrid w:val="0"/>
        <w:spacing w:line="348" w:lineRule="auto"/>
        <w:ind w:firstLine="640"/>
        <w:rPr>
          <w:rFonts w:hint="eastAsia" w:ascii="仿宋_GB2312" w:hAnsi="宋体" w:eastAsia="仿宋_GB2312" w:cs="宋体"/>
          <w:color w:val="000000"/>
          <w:sz w:val="32"/>
          <w:szCs w:val="32"/>
        </w:rPr>
      </w:pPr>
      <w:r>
        <w:rPr>
          <w:rFonts w:hint="eastAsia" w:ascii="仿宋_GB2312" w:eastAsia="仿宋_GB2312"/>
          <w:b/>
          <w:bCs/>
          <w:color w:val="000000"/>
          <w:sz w:val="32"/>
          <w:szCs w:val="32"/>
        </w:rPr>
        <w:t xml:space="preserve">第六条  </w:t>
      </w:r>
      <w:r>
        <w:rPr>
          <w:rFonts w:hint="eastAsia" w:ascii="仿宋_GB2312" w:hAnsi="宋体" w:eastAsia="仿宋_GB2312" w:cs="宋体"/>
          <w:color w:val="000000"/>
          <w:sz w:val="32"/>
          <w:szCs w:val="32"/>
        </w:rPr>
        <w:t>省社科规划办每年3月份、7月份和11月份统一受理结项。</w:t>
      </w:r>
    </w:p>
    <w:p>
      <w:pPr>
        <w:pStyle w:val="9"/>
        <w:adjustRightInd w:val="0"/>
        <w:snapToGrid w:val="0"/>
        <w:spacing w:before="0" w:beforeAutospacing="0" w:after="0" w:afterAutospacing="0" w:line="348" w:lineRule="auto"/>
        <w:ind w:firstLine="643" w:firstLineChars="200"/>
        <w:jc w:val="both"/>
        <w:rPr>
          <w:rFonts w:hint="eastAsia" w:ascii="仿宋_GB2312" w:eastAsia="仿宋_GB2312"/>
          <w:color w:val="000000"/>
          <w:kern w:val="2"/>
          <w:sz w:val="32"/>
          <w:szCs w:val="32"/>
        </w:rPr>
      </w:pPr>
      <w:r>
        <w:rPr>
          <w:rFonts w:hint="eastAsia" w:ascii="仿宋_GB2312" w:eastAsia="仿宋_GB2312"/>
          <w:b/>
          <w:bCs/>
          <w:color w:val="000000"/>
          <w:sz w:val="32"/>
          <w:szCs w:val="32"/>
        </w:rPr>
        <w:t>第七条</w:t>
      </w:r>
      <w:r>
        <w:rPr>
          <w:rFonts w:hint="eastAsia" w:ascii="仿宋_GB2312" w:eastAsia="仿宋_GB2312"/>
          <w:color w:val="000000"/>
          <w:sz w:val="32"/>
          <w:szCs w:val="32"/>
        </w:rPr>
        <w:t xml:space="preserve">  </w:t>
      </w:r>
      <w:r>
        <w:rPr>
          <w:rFonts w:hint="eastAsia" w:ascii="仿宋_GB2312" w:eastAsia="仿宋_GB2312"/>
          <w:color w:val="000000"/>
          <w:kern w:val="2"/>
          <w:sz w:val="32"/>
          <w:szCs w:val="32"/>
        </w:rPr>
        <w:t xml:space="preserve">最终成果的鉴定结项采取通过“福建省社会科学规划项目管理系统”（以下简称“系统”）网络鉴定评审、会议评审等方式，实行双向匿名鉴定制度，根据评审结果，确定鉴定等级， </w:t>
      </w:r>
    </w:p>
    <w:p>
      <w:pPr>
        <w:adjustRightInd w:val="0"/>
        <w:snapToGrid w:val="0"/>
        <w:spacing w:line="348" w:lineRule="auto"/>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（一）网络鉴定评审项目，项目负责人需在“系统”中填报结项申请，由科研管理部门初审后报省社科规划办审核，初审合格，予以受理。初审不合格，不予受理。</w:t>
      </w:r>
    </w:p>
    <w:p>
      <w:pPr>
        <w:pStyle w:val="2"/>
        <w:adjustRightInd w:val="0"/>
        <w:snapToGrid w:val="0"/>
        <w:spacing w:line="348" w:lineRule="auto"/>
        <w:ind w:firstLine="624" w:firstLineChars="200"/>
        <w:jc w:val="both"/>
        <w:rPr>
          <w:rFonts w:hint="eastAsia" w:ascii="仿宋_GB2312" w:hAnsi="宋体" w:eastAsia="仿宋_GB2312" w:cs="宋体"/>
          <w:color w:val="000000"/>
          <w:spacing w:val="-4"/>
          <w:sz w:val="32"/>
          <w:szCs w:val="32"/>
        </w:rPr>
      </w:pPr>
      <w:r>
        <w:rPr>
          <w:rFonts w:hint="eastAsia" w:ascii="仿宋_GB2312" w:hAnsi="宋体" w:eastAsia="仿宋_GB2312" w:cs="宋体"/>
          <w:color w:val="000000"/>
          <w:spacing w:val="-4"/>
          <w:sz w:val="32"/>
          <w:szCs w:val="32"/>
        </w:rPr>
        <w:t>（二）涉密项目及在职省部级</w:t>
      </w:r>
      <w:r>
        <w:rPr>
          <w:rFonts w:hint="eastAsia" w:ascii="仿宋_GB2312" w:hAnsi="宋体" w:eastAsia="仿宋_GB2312" w:cs="宋体"/>
          <w:color w:val="000000"/>
          <w:sz w:val="32"/>
          <w:szCs w:val="32"/>
        </w:rPr>
        <w:t>（含）</w:t>
      </w:r>
      <w:r>
        <w:rPr>
          <w:rFonts w:hint="eastAsia" w:ascii="仿宋_GB2312" w:hAnsi="宋体" w:eastAsia="仿宋_GB2312" w:cs="宋体"/>
          <w:color w:val="000000"/>
          <w:spacing w:val="-4"/>
          <w:sz w:val="32"/>
          <w:szCs w:val="32"/>
        </w:rPr>
        <w:t>以上肯定性批示并被有关部门采纳的免鉴定项目不通过《系统》申请结项。</w:t>
      </w:r>
    </w:p>
    <w:p>
      <w:pPr>
        <w:adjustRightInd w:val="0"/>
        <w:snapToGrid w:val="0"/>
        <w:spacing w:line="348" w:lineRule="auto"/>
        <w:ind w:firstLine="64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(三)会议评审项目，项目负责人按照本实施细则有关规定提交1份无匿名和3份匿名项目鉴定结项材料，由省社科规划办组织会议评审鉴定，特殊情况除外。</w:t>
      </w:r>
    </w:p>
    <w:p>
      <w:pPr>
        <w:adjustRightInd w:val="0"/>
        <w:snapToGrid w:val="0"/>
        <w:spacing w:line="348" w:lineRule="auto"/>
        <w:ind w:firstLine="627" w:firstLineChars="200"/>
        <w:rPr>
          <w:rFonts w:hint="eastAsia" w:ascii="仿宋_GB2312" w:hAnsi="宋体" w:eastAsia="仿宋_GB2312" w:cs="宋体"/>
          <w:color w:val="000000"/>
          <w:spacing w:val="-4"/>
          <w:sz w:val="32"/>
          <w:szCs w:val="32"/>
        </w:rPr>
      </w:pPr>
      <w:r>
        <w:rPr>
          <w:rFonts w:hint="eastAsia" w:ascii="仿宋_GB2312" w:hAnsi="宋体" w:eastAsia="仿宋_GB2312" w:cs="宋体"/>
          <w:b/>
          <w:bCs/>
          <w:color w:val="000000"/>
          <w:spacing w:val="-4"/>
          <w:sz w:val="32"/>
          <w:szCs w:val="32"/>
        </w:rPr>
        <w:t>第八条</w:t>
      </w:r>
      <w:r>
        <w:rPr>
          <w:rFonts w:hint="eastAsia" w:ascii="仿宋_GB2312" w:hAnsi="宋体" w:eastAsia="仿宋_GB2312" w:cs="宋体"/>
          <w:color w:val="000000"/>
          <w:spacing w:val="-4"/>
          <w:sz w:val="32"/>
          <w:szCs w:val="32"/>
        </w:rPr>
        <w:t xml:space="preserve">  科研管理部门要做好项目鉴定结项材料和经费决算的审核工作，签署意见和加盖公章后报送省社科规划办。</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（一）审核的主要内容如下：</w:t>
      </w:r>
      <w:r>
        <w:rPr>
          <w:rFonts w:hint="eastAsia" w:ascii="仿宋_GB2312" w:hAnsi="宋体" w:eastAsia="仿宋_GB2312" w:cs="宋体"/>
          <w:color w:val="000000"/>
          <w:sz w:val="32"/>
          <w:szCs w:val="32"/>
        </w:rPr>
        <w:t xml:space="preserve">  </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1.最终成果的政治方向关和学术质量关；</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2.《鉴定结项审批书》填写是否规范、与《立项申请书》的信息是否一致等；</w:t>
      </w:r>
    </w:p>
    <w:p>
      <w:pPr>
        <w:widowControl/>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3.阶段性成果是否真实、是否与项目研究内容相关、是否是</w:t>
      </w:r>
      <w:r>
        <w:rPr>
          <w:rFonts w:ascii="仿宋_GB2312" w:hAnsi="宋体" w:eastAsia="仿宋_GB2312" w:cs="宋体"/>
          <w:color w:val="000000"/>
          <w:sz w:val="32"/>
          <w:szCs w:val="32"/>
        </w:rPr>
        <w:t>项目实施期间发表的成果</w:t>
      </w:r>
      <w:r>
        <w:rPr>
          <w:rFonts w:hint="eastAsia" w:ascii="仿宋_GB2312" w:hAnsi="宋体" w:eastAsia="仿宋_GB2312" w:cs="宋体"/>
          <w:color w:val="000000"/>
          <w:sz w:val="32"/>
          <w:szCs w:val="32"/>
        </w:rPr>
        <w:t>，是否注明“福建省哲学社会科学规划项目成果，项目批准号：XXXXXX”；</w:t>
      </w:r>
    </w:p>
    <w:p>
      <w:pPr>
        <w:widowControl/>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4.项目的决算经费开支与立项预算经费是否相符，经费变更是否经过审批。</w:t>
      </w:r>
    </w:p>
    <w:p>
      <w:pPr>
        <w:adjustRightInd w:val="0"/>
        <w:snapToGrid w:val="0"/>
        <w:spacing w:line="348" w:lineRule="auto"/>
        <w:ind w:firstLine="643" w:firstLineChars="200"/>
        <w:rPr>
          <w:rFonts w:hint="eastAsia" w:ascii="仿宋_GB2312" w:hAnsi="宋体" w:eastAsia="仿宋_GB2312" w:cs="宋体"/>
          <w:b/>
          <w:bCs/>
          <w:color w:val="000000"/>
          <w:sz w:val="32"/>
          <w:szCs w:val="32"/>
        </w:rPr>
      </w:pPr>
      <w:r>
        <w:rPr>
          <w:rFonts w:hint="eastAsia" w:ascii="仿宋_GB2312" w:eastAsia="仿宋_GB2312"/>
          <w:b/>
          <w:bCs/>
          <w:color w:val="000000"/>
          <w:sz w:val="32"/>
          <w:szCs w:val="32"/>
        </w:rPr>
        <w:t>（二）报送的材料</w:t>
      </w:r>
      <w:r>
        <w:rPr>
          <w:rFonts w:hint="eastAsia" w:ascii="仿宋_GB2312" w:hAnsi="宋体" w:eastAsia="仿宋_GB2312" w:cs="宋体"/>
          <w:b/>
          <w:bCs/>
          <w:color w:val="000000"/>
          <w:sz w:val="32"/>
          <w:szCs w:val="32"/>
        </w:rPr>
        <w:t>如下：</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1.《鉴定结项审批书》1份（附加盖单位财务公章的经费开支明细账凭证）。用计算机填写，A4纸打印，左侧装订；</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2.胶装成册的项目鉴定结项材料打印稿1套。包括最终成果简介、公开发表的阶段性成果（包括期刊封面、目录及内容，标注的项目批准号）、最终成果、查重报告首页纸质版原件（加盖科研管理部门印章）、批示或采纳证明；  </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3.福建省社科规划项目结项报送清单一份；</w:t>
      </w:r>
    </w:p>
    <w:p>
      <w:pPr>
        <w:adjustRightInd w:val="0"/>
        <w:snapToGrid w:val="0"/>
        <w:spacing w:line="348"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4.免于鉴定和非免于鉴定的项目结项材料分类上报。</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第九条</w:t>
      </w:r>
      <w:r>
        <w:rPr>
          <w:rFonts w:hint="eastAsia" w:ascii="仿宋_GB2312" w:hAnsi="宋体" w:eastAsia="仿宋_GB2312" w:cs="宋体"/>
          <w:color w:val="000000"/>
          <w:sz w:val="32"/>
          <w:szCs w:val="32"/>
        </w:rPr>
        <w:t xml:space="preserve">  省社科规划办建立鉴定专家库，专家库实行动态管理，及时补充完善专家库。鉴定专家应坚持客观、公正和公平的原则，恪守学术道德。对于不认真负责的鉴定专家，不再聘用。</w:t>
      </w:r>
    </w:p>
    <w:p>
      <w:pPr>
        <w:adjustRightInd w:val="0"/>
        <w:snapToGrid w:val="0"/>
        <w:spacing w:line="348"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第十条</w:t>
      </w:r>
      <w:r>
        <w:rPr>
          <w:rFonts w:hint="eastAsia" w:ascii="仿宋_GB2312" w:hAnsi="宋体" w:eastAsia="仿宋_GB2312" w:cs="宋体"/>
          <w:color w:val="000000"/>
          <w:sz w:val="32"/>
          <w:szCs w:val="32"/>
        </w:rPr>
        <w:t xml:space="preserve">  省社科规划办根据学科分类遴选鉴定专家，每个学科遴选3位同行专家进行鉴定评审。其中，项目负责人所在单位只遴选1人，项目课题组成员不得担任最终成果的鉴定专家。</w:t>
      </w:r>
    </w:p>
    <w:p>
      <w:pPr>
        <w:adjustRightInd w:val="0"/>
        <w:snapToGrid w:val="0"/>
        <w:spacing w:line="348" w:lineRule="auto"/>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sz w:val="32"/>
          <w:szCs w:val="32"/>
        </w:rPr>
        <w:t>第十一条</w:t>
      </w:r>
      <w:r>
        <w:rPr>
          <w:rFonts w:hint="eastAsia" w:ascii="仿宋_GB2312" w:eastAsia="仿宋_GB2312"/>
          <w:b/>
          <w:bCs/>
          <w:color w:val="000000"/>
          <w:sz w:val="32"/>
          <w:szCs w:val="32"/>
        </w:rPr>
        <w:t xml:space="preserve">  </w:t>
      </w:r>
      <w:r>
        <w:rPr>
          <w:rFonts w:hint="eastAsia" w:ascii="仿宋_GB2312" w:hAnsi="宋体" w:eastAsia="仿宋_GB2312" w:cs="宋体"/>
          <w:color w:val="000000"/>
          <w:sz w:val="32"/>
          <w:szCs w:val="32"/>
        </w:rPr>
        <w:t>最终成果鉴定等级分为“优秀”、“良好”、“合格”和“不合格”四个等级。量化标准分别是：</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“优秀”：平均分在85分（含）以上；不少于2位专家打分在85分以上；不少于2位专家划等级为“优秀”。以上条件必须同时具备（下同）。</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“良好”：未达到“优秀”等级；平均分在75分（含）以上；不少于2位专家打分在75分以上；不少于2位专家划等级为“良好”（含）以上。</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“合格”：未达到“良好”等级；平均分在65分（含）以上；不少于2位专家打分在65分以上；不少于2位专家划等级为“合格”（含）以上。</w:t>
      </w:r>
    </w:p>
    <w:p>
      <w:pPr>
        <w:adjustRightInd w:val="0"/>
        <w:snapToGrid w:val="0"/>
        <w:spacing w:line="348" w:lineRule="auto"/>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“不合格”的标准是指低于“合格”等级的标准。</w:t>
      </w:r>
    </w:p>
    <w:p>
      <w:pPr>
        <w:adjustRightInd w:val="0"/>
        <w:snapToGrid w:val="0"/>
        <w:spacing w:line="348" w:lineRule="auto"/>
        <w:ind w:firstLine="643" w:firstLineChars="200"/>
        <w:rPr>
          <w:rFonts w:hint="eastAsia" w:ascii="仿宋_GB2312" w:eastAsia="仿宋_GB2312"/>
          <w:color w:val="000000"/>
          <w:spacing w:val="-10"/>
          <w:kern w:val="0"/>
          <w:sz w:val="32"/>
          <w:szCs w:val="32"/>
        </w:rPr>
      </w:pPr>
      <w:r>
        <w:rPr>
          <w:rFonts w:hint="eastAsia" w:ascii="仿宋_GB2312" w:hAnsi="宋体" w:eastAsia="仿宋_GB2312" w:cs="宋体"/>
          <w:b/>
          <w:bCs/>
          <w:color w:val="000000"/>
          <w:sz w:val="32"/>
          <w:szCs w:val="32"/>
        </w:rPr>
        <w:t xml:space="preserve">第十二条  </w:t>
      </w:r>
      <w:r>
        <w:rPr>
          <w:rFonts w:hint="eastAsia" w:ascii="仿宋_GB2312" w:hAnsi="宋体" w:eastAsia="仿宋_GB2312" w:cs="宋体"/>
          <w:color w:val="000000"/>
          <w:spacing w:val="-10"/>
          <w:sz w:val="32"/>
          <w:szCs w:val="32"/>
        </w:rPr>
        <w:t>鉴定“合格”以上的项目，由省社科规划办</w:t>
      </w:r>
      <w:r>
        <w:rPr>
          <w:rFonts w:hint="eastAsia" w:ascii="仿宋_GB2312" w:eastAsia="仿宋_GB2312"/>
          <w:color w:val="000000"/>
          <w:sz w:val="32"/>
          <w:szCs w:val="32"/>
        </w:rPr>
        <w:t>颁发《省社科规划项目结项证书》，注明最终鉴定等级以及课题组成员（课题组成员以鉴定结项前最后审批变更为准），</w:t>
      </w:r>
      <w:r>
        <w:rPr>
          <w:rFonts w:hint="eastAsia" w:ascii="仿宋_GB2312" w:hAnsi="宋体" w:eastAsia="仿宋_GB2312" w:cs="宋体"/>
          <w:color w:val="000000"/>
          <w:spacing w:val="-10"/>
          <w:sz w:val="32"/>
          <w:szCs w:val="32"/>
        </w:rPr>
        <w:t>并</w:t>
      </w:r>
      <w:r>
        <w:rPr>
          <w:rFonts w:hint="eastAsia" w:ascii="仿宋_GB2312" w:eastAsia="仿宋_GB2312"/>
          <w:color w:val="000000"/>
          <w:spacing w:val="-10"/>
          <w:kern w:val="0"/>
          <w:sz w:val="32"/>
          <w:szCs w:val="32"/>
        </w:rPr>
        <w:t>在省社科联网站发布项目鉴定结项结果。</w:t>
      </w:r>
    </w:p>
    <w:p>
      <w:pPr>
        <w:adjustRightInd w:val="0"/>
        <w:snapToGrid w:val="0"/>
        <w:spacing w:line="348" w:lineRule="auto"/>
        <w:ind w:firstLine="640"/>
        <w:rPr>
          <w:rFonts w:hint="eastAsia" w:ascii="黑体" w:hAnsi="黑体" w:eastAsia="仿宋_GB2312" w:cs="宋体"/>
          <w:color w:val="000000"/>
          <w:sz w:val="32"/>
          <w:szCs w:val="32"/>
        </w:rPr>
      </w:pPr>
      <w:r>
        <w:rPr>
          <w:rFonts w:hint="eastAsia" w:ascii="仿宋_GB2312" w:hAnsi="宋体" w:eastAsia="仿宋_GB2312" w:cs="宋体"/>
          <w:color w:val="000000"/>
          <w:sz w:val="32"/>
          <w:szCs w:val="32"/>
        </w:rPr>
        <w:t>鉴定“不合格”的项目，由省社科规划办反馈鉴定专家评审意见并下发暂缓结项通知。项目负责人应根据鉴定专家的意见，自暂缓结项通知下达之日起半年内，再次提交结项申请，由省社科规划办组织二次鉴定。</w:t>
      </w:r>
    </w:p>
    <w:p>
      <w:pPr>
        <w:adjustRightInd w:val="0"/>
        <w:snapToGrid w:val="0"/>
        <w:spacing w:line="348" w:lineRule="auto"/>
        <w:rPr>
          <w:rFonts w:hint="eastAsia" w:ascii="仿宋_GB2312" w:hAnsi="宋体" w:eastAsia="仿宋_GB2312" w:cs="宋体"/>
          <w:color w:val="000000"/>
          <w:sz w:val="32"/>
          <w:szCs w:val="32"/>
        </w:rPr>
      </w:pPr>
      <w:r>
        <w:rPr>
          <w:rFonts w:hint="eastAsia" w:ascii="宋体" w:hAnsi="宋体" w:cs="宋体"/>
          <w:color w:val="000000"/>
          <w:sz w:val="32"/>
          <w:szCs w:val="32"/>
        </w:rPr>
        <w:t xml:space="preserve">    </w:t>
      </w:r>
      <w:r>
        <w:rPr>
          <w:rFonts w:hint="eastAsia" w:ascii="仿宋_GB2312" w:hAnsi="宋体" w:eastAsia="仿宋_GB2312" w:cs="宋体"/>
          <w:b/>
          <w:bCs/>
          <w:color w:val="000000"/>
          <w:sz w:val="32"/>
          <w:szCs w:val="32"/>
        </w:rPr>
        <w:t xml:space="preserve">第十三条  </w:t>
      </w:r>
      <w:r>
        <w:rPr>
          <w:rFonts w:hint="eastAsia" w:ascii="仿宋_GB2312" w:hAnsi="宋体" w:eastAsia="仿宋_GB2312" w:cs="宋体"/>
          <w:color w:val="000000"/>
          <w:sz w:val="32"/>
          <w:szCs w:val="32"/>
        </w:rPr>
        <w:t>项目负责人对鉴定结果有异议的，可申请重新鉴定。申请复议时需说明理由，并由3名（含）以上具有正高级职称的同行专家联名提请或由项目负责人所在单位的学术委员会提请，经省社科规划办批准后，重新组织专家进行鉴定。同一项目成果只能重新鉴定一次，重新鉴定结果将作为该成果的最终鉴定意见。</w:t>
      </w:r>
    </w:p>
    <w:p>
      <w:pPr>
        <w:adjustRightInd w:val="0"/>
        <w:snapToGrid w:val="0"/>
        <w:spacing w:line="348" w:lineRule="auto"/>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第十四条</w:t>
      </w:r>
      <w:r>
        <w:rPr>
          <w:rFonts w:hint="eastAsia" w:ascii="仿宋_GB2312" w:eastAsia="仿宋_GB2312"/>
          <w:color w:val="000000"/>
          <w:sz w:val="32"/>
          <w:szCs w:val="32"/>
        </w:rPr>
        <w:t xml:space="preserve">  项目最终</w:t>
      </w:r>
      <w:r>
        <w:rPr>
          <w:rFonts w:hint="eastAsia" w:ascii="仿宋_GB2312" w:eastAsia="仿宋_GB2312"/>
          <w:bCs/>
          <w:color w:val="000000"/>
          <w:sz w:val="32"/>
          <w:szCs w:val="32"/>
        </w:rPr>
        <w:t>成果鉴定评审费</w:t>
      </w:r>
      <w:r>
        <w:rPr>
          <w:rFonts w:hint="eastAsia" w:ascii="仿宋_GB2312" w:eastAsia="仿宋_GB2312"/>
          <w:color w:val="000000"/>
          <w:sz w:val="32"/>
          <w:szCs w:val="32"/>
        </w:rPr>
        <w:t>1500元</w:t>
      </w:r>
      <w:r>
        <w:rPr>
          <w:rFonts w:hint="eastAsia" w:ascii="仿宋_GB2312" w:eastAsia="仿宋_GB2312"/>
          <w:bCs/>
          <w:color w:val="000000"/>
          <w:sz w:val="32"/>
          <w:szCs w:val="32"/>
        </w:rPr>
        <w:t>从项目</w:t>
      </w:r>
      <w:r>
        <w:rPr>
          <w:rFonts w:hint="eastAsia" w:ascii="仿宋_GB2312" w:eastAsia="仿宋_GB2312"/>
          <w:color w:val="000000"/>
          <w:sz w:val="32"/>
          <w:szCs w:val="32"/>
        </w:rPr>
        <w:t>预留经费中统一列支</w:t>
      </w:r>
      <w:r>
        <w:rPr>
          <w:rFonts w:hint="eastAsia" w:ascii="仿宋_GB2312" w:eastAsia="仿宋_GB2312"/>
          <w:bCs/>
          <w:color w:val="000000"/>
          <w:sz w:val="32"/>
          <w:szCs w:val="32"/>
        </w:rPr>
        <w:t>，</w:t>
      </w:r>
      <w:r>
        <w:rPr>
          <w:rFonts w:hint="eastAsia" w:ascii="仿宋_GB2312" w:eastAsia="仿宋_GB2312"/>
          <w:color w:val="000000"/>
          <w:sz w:val="32"/>
          <w:szCs w:val="32"/>
        </w:rPr>
        <w:t>免于鉴定的项目除外。</w:t>
      </w:r>
    </w:p>
    <w:p>
      <w:pPr>
        <w:adjustRightInd w:val="0"/>
        <w:snapToGrid w:val="0"/>
        <w:spacing w:line="34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因最终成果质量问题需组织二次鉴定产生的鉴定评审费，从该项目预留的经费中再次扣除。</w:t>
      </w:r>
      <w:r>
        <w:rPr>
          <w:rStyle w:val="13"/>
          <w:rFonts w:hint="eastAsia" w:ascii="仿宋_GB2312" w:eastAsia="仿宋_GB2312"/>
          <w:b w:val="0"/>
          <w:color w:val="000000"/>
          <w:sz w:val="32"/>
          <w:szCs w:val="32"/>
        </w:rPr>
        <w:t>鉴定评审费支付标准按省社科联财务管理的有关规定执行。</w:t>
      </w:r>
    </w:p>
    <w:p>
      <w:pPr>
        <w:pStyle w:val="9"/>
        <w:adjustRightInd w:val="0"/>
        <w:snapToGrid w:val="0"/>
        <w:spacing w:before="0" w:beforeAutospacing="0" w:after="0" w:afterAutospacing="0" w:line="348" w:lineRule="auto"/>
        <w:ind w:firstLine="482"/>
        <w:jc w:val="both"/>
        <w:rPr>
          <w:rFonts w:hint="eastAsia" w:ascii="黑体" w:hAnsi="黑体" w:eastAsia="黑体"/>
          <w:b/>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第十五条</w:t>
      </w:r>
      <w:r>
        <w:rPr>
          <w:rFonts w:hint="eastAsia" w:ascii="仿宋_GB2312" w:eastAsia="仿宋_GB2312"/>
          <w:color w:val="000000"/>
          <w:sz w:val="32"/>
          <w:szCs w:val="32"/>
        </w:rPr>
        <w:t xml:space="preserve">  </w:t>
      </w:r>
      <w:r>
        <w:rPr>
          <w:rFonts w:hint="eastAsia" w:ascii="仿宋_GB2312" w:eastAsia="仿宋_GB2312"/>
          <w:color w:val="000000"/>
          <w:kern w:val="2"/>
          <w:sz w:val="32"/>
          <w:szCs w:val="32"/>
        </w:rPr>
        <w:t>省社科规划项目实行三年定期清理制，能够在清理期内完成的项目不再需要提交延期申请，因特殊情况不能按时完成的除外。</w:t>
      </w:r>
    </w:p>
    <w:p>
      <w:pPr>
        <w:adjustRightInd w:val="0"/>
        <w:snapToGrid w:val="0"/>
        <w:spacing w:line="336"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bCs/>
          <w:color w:val="000000"/>
          <w:sz w:val="32"/>
          <w:szCs w:val="32"/>
        </w:rPr>
        <w:t xml:space="preserve">第十六条 </w:t>
      </w:r>
      <w:r>
        <w:rPr>
          <w:rFonts w:hint="eastAsia" w:ascii="仿宋_GB2312" w:hAnsi="宋体" w:eastAsia="仿宋_GB2312" w:cs="宋体"/>
          <w:color w:val="000000"/>
          <w:sz w:val="32"/>
          <w:szCs w:val="32"/>
        </w:rPr>
        <w:t xml:space="preserve"> 严格落实意识形态工作责任制和中办、国办印发《关于进一步加强科研诚信建设的若干意见》，凡具有下列情形之一者，省社科规划办将按照《福建省社会科学规划项目管理办法》的有关规定予以撤销项目，被撤销项目的负责人5年内不得申请或参与申请省社科规划项目。</w:t>
      </w:r>
    </w:p>
    <w:p>
      <w:pPr>
        <w:pStyle w:val="9"/>
        <w:spacing w:before="0" w:beforeAutospacing="0" w:after="0" w:afterAutospacing="0"/>
        <w:ind w:firstLine="645"/>
        <w:rPr>
          <w:rFonts w:hint="eastAsia" w:ascii="仿宋_GB2312" w:eastAsia="仿宋_GB2312"/>
          <w:color w:val="000000"/>
          <w:kern w:val="2"/>
          <w:sz w:val="32"/>
          <w:szCs w:val="32"/>
        </w:rPr>
      </w:pPr>
      <w:r>
        <w:rPr>
          <w:rFonts w:hint="eastAsia" w:ascii="仿宋_GB2312" w:eastAsia="仿宋_GB2312"/>
          <w:color w:val="000000"/>
          <w:kern w:val="2"/>
          <w:sz w:val="32"/>
          <w:szCs w:val="32"/>
        </w:rPr>
        <w:t>（一）研究成果有严重政治问题的；</w:t>
      </w:r>
    </w:p>
    <w:p>
      <w:pPr>
        <w:pStyle w:val="9"/>
        <w:spacing w:before="0" w:beforeAutospacing="0" w:after="0" w:afterAutospacing="0"/>
        <w:ind w:firstLine="645"/>
        <w:rPr>
          <w:rFonts w:hint="eastAsia" w:ascii="仿宋_GB2312" w:eastAsia="仿宋_GB2312"/>
          <w:color w:val="000000"/>
          <w:kern w:val="2"/>
          <w:sz w:val="32"/>
          <w:szCs w:val="32"/>
        </w:rPr>
      </w:pPr>
      <w:r>
        <w:rPr>
          <w:rFonts w:hint="eastAsia" w:ascii="仿宋_GB2312" w:eastAsia="仿宋_GB2312"/>
          <w:color w:val="000000"/>
          <w:kern w:val="2"/>
          <w:sz w:val="32"/>
          <w:szCs w:val="32"/>
        </w:rPr>
        <w:t>（二）项目研究中有剽窃他人科研成果或者弄虚作假等违背科研诚信要求的学术不端行为的；</w:t>
      </w:r>
    </w:p>
    <w:p>
      <w:pPr>
        <w:pStyle w:val="9"/>
        <w:spacing w:before="0" w:beforeAutospacing="0" w:after="0" w:afterAutospacing="0"/>
        <w:ind w:left="638" w:leftChars="304"/>
        <w:rPr>
          <w:rFonts w:hint="eastAsia" w:ascii="仿宋_GB2312" w:eastAsia="仿宋_GB2312"/>
          <w:color w:val="000000"/>
          <w:kern w:val="2"/>
          <w:sz w:val="32"/>
          <w:szCs w:val="32"/>
        </w:rPr>
      </w:pPr>
      <w:r>
        <w:rPr>
          <w:rFonts w:hint="eastAsia" w:ascii="仿宋_GB2312" w:eastAsia="仿宋_GB2312"/>
          <w:color w:val="000000"/>
          <w:kern w:val="2"/>
          <w:sz w:val="32"/>
          <w:szCs w:val="32"/>
        </w:rPr>
        <w:t>（三）严重违反资助经费使用和管理制度的；</w:t>
      </w:r>
    </w:p>
    <w:p>
      <w:pPr>
        <w:adjustRightInd w:val="0"/>
        <w:snapToGrid w:val="0"/>
        <w:spacing w:line="336" w:lineRule="auto"/>
        <w:ind w:firstLine="600" w:firstLineChars="200"/>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（四）首次鉴定为“不合格”且二次鉴定仍为“不合格”的；</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（五）清理期的项目不能按时完成；</w:t>
      </w:r>
    </w:p>
    <w:p>
      <w:pPr>
        <w:adjustRightInd w:val="0"/>
        <w:snapToGrid w:val="0"/>
        <w:spacing w:line="336" w:lineRule="auto"/>
        <w:ind w:firstLine="600" w:firstLineChars="200"/>
        <w:rPr>
          <w:rFonts w:hint="eastAsia" w:ascii="仿宋_GB2312" w:hAnsi="宋体" w:eastAsia="仿宋_GB2312" w:cs="宋体"/>
          <w:color w:val="000000"/>
          <w:spacing w:val="-10"/>
          <w:sz w:val="32"/>
          <w:szCs w:val="32"/>
        </w:rPr>
      </w:pPr>
      <w:r>
        <w:rPr>
          <w:rFonts w:hint="eastAsia" w:ascii="仿宋_GB2312" w:hAnsi="宋体" w:eastAsia="仿宋_GB2312" w:cs="宋体"/>
          <w:color w:val="000000"/>
          <w:spacing w:val="-10"/>
          <w:sz w:val="32"/>
          <w:szCs w:val="32"/>
        </w:rPr>
        <w:t>（六）清理期11月份受理结项的项目鉴定为“不合格”的；</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（七）违反其他相关规定的。</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在项目实施过程中，因项目负责人严重疾病、去世、调离福建省等特殊情况，由科研管理部门上报省社科规划办，由省社科规划办予以终止项目。 </w:t>
      </w:r>
    </w:p>
    <w:p>
      <w:pPr>
        <w:adjustRightInd w:val="0"/>
        <w:snapToGrid w:val="0"/>
        <w:spacing w:line="336" w:lineRule="auto"/>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被终止或撤销的项目，责任单位科研管理部门应当在接到有关通知后30日内将项目剩余资金退回。</w:t>
      </w:r>
    </w:p>
    <w:p>
      <w:pPr>
        <w:adjustRightInd w:val="0"/>
        <w:snapToGrid w:val="0"/>
        <w:spacing w:line="336" w:lineRule="auto"/>
        <w:ind w:firstLine="643" w:firstLineChars="200"/>
        <w:rPr>
          <w:rFonts w:hint="eastAsia" w:ascii="仿宋_GB2312" w:eastAsia="仿宋_GB2312"/>
          <w:color w:val="000000"/>
          <w:sz w:val="32"/>
          <w:szCs w:val="32"/>
        </w:rPr>
      </w:pPr>
      <w:r>
        <w:rPr>
          <w:rFonts w:hint="eastAsia" w:ascii="仿宋_GB2312" w:hAnsi="宋体" w:eastAsia="仿宋_GB2312" w:cs="宋体"/>
          <w:b/>
          <w:color w:val="000000"/>
          <w:sz w:val="32"/>
          <w:szCs w:val="32"/>
        </w:rPr>
        <w:t xml:space="preserve">第十七条  </w:t>
      </w:r>
      <w:r>
        <w:rPr>
          <w:rFonts w:hint="eastAsia" w:ascii="仿宋_GB2312" w:eastAsia="仿宋_GB2312"/>
          <w:color w:val="000000"/>
          <w:sz w:val="32"/>
          <w:szCs w:val="32"/>
        </w:rPr>
        <w:t>省社科规划办及科研管理部门应建立健全项目档案，加强项目档案管理。</w:t>
      </w:r>
    </w:p>
    <w:p>
      <w:pPr>
        <w:adjustRightInd w:val="0"/>
        <w:snapToGrid w:val="0"/>
        <w:spacing w:line="336" w:lineRule="auto"/>
        <w:ind w:firstLine="643" w:firstLineChars="200"/>
        <w:rPr>
          <w:rFonts w:ascii="仿宋_GB2312" w:hAnsi="宋体" w:eastAsia="仿宋_GB2312" w:cs="宋体"/>
          <w:color w:val="FF0000"/>
          <w:sz w:val="32"/>
          <w:szCs w:val="32"/>
          <w:u w:val="single"/>
        </w:rPr>
      </w:pPr>
      <w:r>
        <w:rPr>
          <w:rFonts w:hint="eastAsia" w:ascii="仿宋_GB2312" w:eastAsia="仿宋_GB2312"/>
          <w:b/>
          <w:color w:val="000000"/>
          <w:sz w:val="32"/>
          <w:szCs w:val="32"/>
        </w:rPr>
        <w:t>第十八条</w:t>
      </w:r>
      <w:r>
        <w:rPr>
          <w:rFonts w:hint="eastAsia" w:ascii="黑体" w:hAnsi="黑体" w:eastAsia="黑体"/>
          <w:color w:val="000000"/>
          <w:sz w:val="32"/>
          <w:szCs w:val="32"/>
        </w:rPr>
        <w:t xml:space="preserve">  </w:t>
      </w:r>
      <w:r>
        <w:rPr>
          <w:rFonts w:hint="eastAsia" w:ascii="仿宋_GB2312" w:hAnsi="宋体" w:eastAsia="仿宋_GB2312" w:cs="宋体"/>
          <w:color w:val="000000"/>
          <w:sz w:val="32"/>
          <w:szCs w:val="32"/>
        </w:rPr>
        <w:t>在项目鉴定结项中，工作人员应当遵守党风廉政建设有关规定，</w:t>
      </w:r>
      <w:r>
        <w:rPr>
          <w:rFonts w:ascii="仿宋_GB2312" w:hAnsi="宋体" w:eastAsia="仿宋_GB2312" w:cs="宋体"/>
          <w:color w:val="000000"/>
          <w:sz w:val="32"/>
          <w:szCs w:val="32"/>
        </w:rPr>
        <w:t>不得</w:t>
      </w:r>
      <w:r>
        <w:rPr>
          <w:rFonts w:hint="eastAsia" w:ascii="仿宋_GB2312" w:hAnsi="宋体" w:eastAsia="仿宋_GB2312" w:cs="宋体"/>
          <w:color w:val="000000"/>
          <w:sz w:val="32"/>
          <w:szCs w:val="32"/>
        </w:rPr>
        <w:t>利用鉴定结项工作便利谋取不正当利益</w:t>
      </w:r>
      <w:r>
        <w:rPr>
          <w:rFonts w:hint="eastAsia" w:ascii="仿宋_GB2312" w:eastAsia="仿宋_GB2312"/>
          <w:color w:val="000000"/>
          <w:sz w:val="32"/>
          <w:szCs w:val="32"/>
        </w:rPr>
        <w:t>。如涉嫌违规违纪违法问题可向省纪委监委驻省委宣传部纪检监察组反映。</w:t>
      </w:r>
    </w:p>
    <w:p>
      <w:pPr>
        <w:adjustRightInd w:val="0"/>
        <w:snapToGrid w:val="0"/>
        <w:spacing w:line="336" w:lineRule="auto"/>
        <w:ind w:firstLine="643" w:firstLineChars="200"/>
        <w:rPr>
          <w:rFonts w:hint="eastAsia" w:ascii="仿宋_GB2312" w:hAnsi="宋体" w:eastAsia="仿宋_GB2312" w:cs="宋体"/>
          <w:color w:val="000000"/>
          <w:sz w:val="32"/>
          <w:szCs w:val="32"/>
          <w:u w:val="single"/>
        </w:rPr>
      </w:pPr>
      <w:r>
        <w:rPr>
          <w:rFonts w:hint="eastAsia" w:ascii="仿宋_GB2312" w:hAnsi="宋体" w:eastAsia="仿宋_GB2312" w:cs="宋体"/>
          <w:b/>
          <w:color w:val="000000"/>
          <w:sz w:val="32"/>
          <w:szCs w:val="32"/>
        </w:rPr>
        <w:t>第十九条</w:t>
      </w:r>
      <w:r>
        <w:rPr>
          <w:rFonts w:hint="eastAsia" w:ascii="仿宋_GB2312" w:hAnsi="宋体" w:eastAsia="仿宋_GB2312" w:cs="宋体"/>
          <w:color w:val="000000"/>
          <w:sz w:val="32"/>
          <w:szCs w:val="32"/>
        </w:rPr>
        <w:t xml:space="preserve">  本办法自发布之日起施行。本办法施行前的有关规定，凡与本办法不符的，均以本办法为准。</w:t>
      </w:r>
    </w:p>
    <w:p>
      <w:pPr>
        <w:adjustRightInd w:val="0"/>
        <w:snapToGrid w:val="0"/>
        <w:spacing w:line="336" w:lineRule="auto"/>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color w:val="000000"/>
          <w:sz w:val="32"/>
          <w:szCs w:val="32"/>
        </w:rPr>
        <w:t>第二十条</w:t>
      </w:r>
      <w:r>
        <w:rPr>
          <w:rFonts w:hint="eastAsia" w:ascii="仿宋_GB2312" w:hAnsi="宋体" w:eastAsia="仿宋_GB2312" w:cs="宋体"/>
          <w:color w:val="000000"/>
          <w:sz w:val="32"/>
          <w:szCs w:val="32"/>
        </w:rPr>
        <w:t xml:space="preserve">  本实施细则由省社科规划办负责解释。</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21E52"/>
    <w:rsid w:val="00022AF7"/>
    <w:rsid w:val="00050447"/>
    <w:rsid w:val="00076C20"/>
    <w:rsid w:val="000912CB"/>
    <w:rsid w:val="00096A74"/>
    <w:rsid w:val="000A1240"/>
    <w:rsid w:val="000B338B"/>
    <w:rsid w:val="000C497D"/>
    <w:rsid w:val="000F1DB1"/>
    <w:rsid w:val="00103A38"/>
    <w:rsid w:val="00123D90"/>
    <w:rsid w:val="00130EF6"/>
    <w:rsid w:val="00140575"/>
    <w:rsid w:val="00143AF2"/>
    <w:rsid w:val="00154773"/>
    <w:rsid w:val="001634F6"/>
    <w:rsid w:val="001709CB"/>
    <w:rsid w:val="00173AEA"/>
    <w:rsid w:val="001B7AC3"/>
    <w:rsid w:val="001D0175"/>
    <w:rsid w:val="002323D7"/>
    <w:rsid w:val="00233C73"/>
    <w:rsid w:val="00235BBB"/>
    <w:rsid w:val="00240848"/>
    <w:rsid w:val="0024098C"/>
    <w:rsid w:val="00276A1C"/>
    <w:rsid w:val="002874B5"/>
    <w:rsid w:val="00291648"/>
    <w:rsid w:val="002A3808"/>
    <w:rsid w:val="002E2711"/>
    <w:rsid w:val="002E60ED"/>
    <w:rsid w:val="002E67BC"/>
    <w:rsid w:val="003339B8"/>
    <w:rsid w:val="0033668B"/>
    <w:rsid w:val="003801E4"/>
    <w:rsid w:val="0038398E"/>
    <w:rsid w:val="00386A22"/>
    <w:rsid w:val="003C0D65"/>
    <w:rsid w:val="003C59F9"/>
    <w:rsid w:val="004009D5"/>
    <w:rsid w:val="00401D2D"/>
    <w:rsid w:val="00445908"/>
    <w:rsid w:val="00453D26"/>
    <w:rsid w:val="0045599C"/>
    <w:rsid w:val="0045634D"/>
    <w:rsid w:val="004578DE"/>
    <w:rsid w:val="004705F1"/>
    <w:rsid w:val="0047690B"/>
    <w:rsid w:val="0048159C"/>
    <w:rsid w:val="00485436"/>
    <w:rsid w:val="0048739E"/>
    <w:rsid w:val="00495D36"/>
    <w:rsid w:val="004A2B71"/>
    <w:rsid w:val="004C0E4E"/>
    <w:rsid w:val="004D3A4D"/>
    <w:rsid w:val="004D5DB2"/>
    <w:rsid w:val="004E4662"/>
    <w:rsid w:val="004E5D45"/>
    <w:rsid w:val="004F55B0"/>
    <w:rsid w:val="004F599E"/>
    <w:rsid w:val="00500D8E"/>
    <w:rsid w:val="00504643"/>
    <w:rsid w:val="00534850"/>
    <w:rsid w:val="00542126"/>
    <w:rsid w:val="005674F4"/>
    <w:rsid w:val="005767FA"/>
    <w:rsid w:val="005865F6"/>
    <w:rsid w:val="005B6F5C"/>
    <w:rsid w:val="005C5096"/>
    <w:rsid w:val="005D5A1F"/>
    <w:rsid w:val="005F0976"/>
    <w:rsid w:val="00600E05"/>
    <w:rsid w:val="0063113B"/>
    <w:rsid w:val="00642458"/>
    <w:rsid w:val="00652B03"/>
    <w:rsid w:val="00654653"/>
    <w:rsid w:val="006A2CB5"/>
    <w:rsid w:val="006A563C"/>
    <w:rsid w:val="006D7BA5"/>
    <w:rsid w:val="006F02AA"/>
    <w:rsid w:val="006F12CA"/>
    <w:rsid w:val="006F29F9"/>
    <w:rsid w:val="00714E5D"/>
    <w:rsid w:val="00746426"/>
    <w:rsid w:val="00760393"/>
    <w:rsid w:val="00775130"/>
    <w:rsid w:val="00777D5E"/>
    <w:rsid w:val="007929CB"/>
    <w:rsid w:val="007E48E1"/>
    <w:rsid w:val="007F1774"/>
    <w:rsid w:val="008009EF"/>
    <w:rsid w:val="00802481"/>
    <w:rsid w:val="00810033"/>
    <w:rsid w:val="00817DC0"/>
    <w:rsid w:val="0083277B"/>
    <w:rsid w:val="00841671"/>
    <w:rsid w:val="00860730"/>
    <w:rsid w:val="008636A9"/>
    <w:rsid w:val="008716C6"/>
    <w:rsid w:val="008805B2"/>
    <w:rsid w:val="008A08B0"/>
    <w:rsid w:val="008B3906"/>
    <w:rsid w:val="008D04CC"/>
    <w:rsid w:val="008F639C"/>
    <w:rsid w:val="00907CF7"/>
    <w:rsid w:val="00923CA9"/>
    <w:rsid w:val="0092555E"/>
    <w:rsid w:val="00927499"/>
    <w:rsid w:val="00946B25"/>
    <w:rsid w:val="00994D7A"/>
    <w:rsid w:val="00995F49"/>
    <w:rsid w:val="009B0FD6"/>
    <w:rsid w:val="009C063A"/>
    <w:rsid w:val="009C20DD"/>
    <w:rsid w:val="009E2FA9"/>
    <w:rsid w:val="009E6CFF"/>
    <w:rsid w:val="00A55DEB"/>
    <w:rsid w:val="00A64C49"/>
    <w:rsid w:val="00A86E78"/>
    <w:rsid w:val="00A9220C"/>
    <w:rsid w:val="00A95701"/>
    <w:rsid w:val="00AB1363"/>
    <w:rsid w:val="00AB74C5"/>
    <w:rsid w:val="00AD744F"/>
    <w:rsid w:val="00AE6F62"/>
    <w:rsid w:val="00B02862"/>
    <w:rsid w:val="00B04FA5"/>
    <w:rsid w:val="00B31564"/>
    <w:rsid w:val="00B323FC"/>
    <w:rsid w:val="00B46560"/>
    <w:rsid w:val="00B51598"/>
    <w:rsid w:val="00B64239"/>
    <w:rsid w:val="00B65F01"/>
    <w:rsid w:val="00B73287"/>
    <w:rsid w:val="00BA37C0"/>
    <w:rsid w:val="00BA3F0C"/>
    <w:rsid w:val="00BA7458"/>
    <w:rsid w:val="00BC6CA8"/>
    <w:rsid w:val="00C00C2E"/>
    <w:rsid w:val="00C010EE"/>
    <w:rsid w:val="00C33B92"/>
    <w:rsid w:val="00C35613"/>
    <w:rsid w:val="00C55924"/>
    <w:rsid w:val="00C80CD3"/>
    <w:rsid w:val="00C83FE9"/>
    <w:rsid w:val="00C87B36"/>
    <w:rsid w:val="00C90600"/>
    <w:rsid w:val="00C91B32"/>
    <w:rsid w:val="00CA5667"/>
    <w:rsid w:val="00CB2BFA"/>
    <w:rsid w:val="00CB7514"/>
    <w:rsid w:val="00CC4CCA"/>
    <w:rsid w:val="00CF2FA4"/>
    <w:rsid w:val="00D03BC6"/>
    <w:rsid w:val="00D111EA"/>
    <w:rsid w:val="00D70284"/>
    <w:rsid w:val="00D8131C"/>
    <w:rsid w:val="00D85DFC"/>
    <w:rsid w:val="00DA088B"/>
    <w:rsid w:val="00DB651D"/>
    <w:rsid w:val="00DE1C57"/>
    <w:rsid w:val="00DE3D5D"/>
    <w:rsid w:val="00E07511"/>
    <w:rsid w:val="00E2324A"/>
    <w:rsid w:val="00E44040"/>
    <w:rsid w:val="00E44593"/>
    <w:rsid w:val="00E731BD"/>
    <w:rsid w:val="00E94AE0"/>
    <w:rsid w:val="00E969D8"/>
    <w:rsid w:val="00EC132F"/>
    <w:rsid w:val="00EC5234"/>
    <w:rsid w:val="00EC7865"/>
    <w:rsid w:val="00ED0103"/>
    <w:rsid w:val="00F024FD"/>
    <w:rsid w:val="00F02C03"/>
    <w:rsid w:val="00F036E8"/>
    <w:rsid w:val="00F048A4"/>
    <w:rsid w:val="00F20516"/>
    <w:rsid w:val="00F60AB5"/>
    <w:rsid w:val="00F84214"/>
    <w:rsid w:val="00F86114"/>
    <w:rsid w:val="00FB1096"/>
    <w:rsid w:val="00FB2D92"/>
    <w:rsid w:val="00FC5D36"/>
    <w:rsid w:val="00FD351C"/>
    <w:rsid w:val="00FE5A5B"/>
    <w:rsid w:val="032951F0"/>
    <w:rsid w:val="03B01601"/>
    <w:rsid w:val="03C73249"/>
    <w:rsid w:val="04091C8F"/>
    <w:rsid w:val="04EF2ED9"/>
    <w:rsid w:val="06EF4A25"/>
    <w:rsid w:val="079A182F"/>
    <w:rsid w:val="0847300F"/>
    <w:rsid w:val="08D81D61"/>
    <w:rsid w:val="0B4209BA"/>
    <w:rsid w:val="0C1152C4"/>
    <w:rsid w:val="0CFE0BA2"/>
    <w:rsid w:val="107A6A17"/>
    <w:rsid w:val="10C73680"/>
    <w:rsid w:val="11CA7BCE"/>
    <w:rsid w:val="129408EB"/>
    <w:rsid w:val="13192F85"/>
    <w:rsid w:val="13492C20"/>
    <w:rsid w:val="13FE0A2B"/>
    <w:rsid w:val="14B86D98"/>
    <w:rsid w:val="15A70206"/>
    <w:rsid w:val="17301B9A"/>
    <w:rsid w:val="19660B8C"/>
    <w:rsid w:val="1B1F3C5B"/>
    <w:rsid w:val="1BD1115B"/>
    <w:rsid w:val="1CC16E80"/>
    <w:rsid w:val="1DCA4C54"/>
    <w:rsid w:val="1F8C4D31"/>
    <w:rsid w:val="20FC6981"/>
    <w:rsid w:val="211330B6"/>
    <w:rsid w:val="256E1BDF"/>
    <w:rsid w:val="259A3843"/>
    <w:rsid w:val="25BC4BA0"/>
    <w:rsid w:val="264819F8"/>
    <w:rsid w:val="26B816B9"/>
    <w:rsid w:val="28537165"/>
    <w:rsid w:val="2871734E"/>
    <w:rsid w:val="2A556AE9"/>
    <w:rsid w:val="2B427727"/>
    <w:rsid w:val="2D1A1738"/>
    <w:rsid w:val="2F5856C3"/>
    <w:rsid w:val="302C2E46"/>
    <w:rsid w:val="33923206"/>
    <w:rsid w:val="3425351D"/>
    <w:rsid w:val="346E54BA"/>
    <w:rsid w:val="34991408"/>
    <w:rsid w:val="34BA3FF1"/>
    <w:rsid w:val="34D36C87"/>
    <w:rsid w:val="36896670"/>
    <w:rsid w:val="371258D7"/>
    <w:rsid w:val="37F571B0"/>
    <w:rsid w:val="38DC5791"/>
    <w:rsid w:val="38ED5F35"/>
    <w:rsid w:val="3A031B1A"/>
    <w:rsid w:val="3AC23D34"/>
    <w:rsid w:val="3B37316E"/>
    <w:rsid w:val="3B6C077F"/>
    <w:rsid w:val="3CE24A73"/>
    <w:rsid w:val="3DD4546D"/>
    <w:rsid w:val="3E465E36"/>
    <w:rsid w:val="3E9E3534"/>
    <w:rsid w:val="3E9F7FDD"/>
    <w:rsid w:val="3EC21E52"/>
    <w:rsid w:val="3F381AE3"/>
    <w:rsid w:val="3F656793"/>
    <w:rsid w:val="3F7439BC"/>
    <w:rsid w:val="3FBC59DF"/>
    <w:rsid w:val="406F42B6"/>
    <w:rsid w:val="418D1695"/>
    <w:rsid w:val="41EE7F20"/>
    <w:rsid w:val="42E7677C"/>
    <w:rsid w:val="432B1A36"/>
    <w:rsid w:val="454A7FBD"/>
    <w:rsid w:val="45D33B51"/>
    <w:rsid w:val="46F25262"/>
    <w:rsid w:val="47700662"/>
    <w:rsid w:val="47E956B1"/>
    <w:rsid w:val="49DE09F7"/>
    <w:rsid w:val="4AE70710"/>
    <w:rsid w:val="4D0B4E5A"/>
    <w:rsid w:val="4DE87FD8"/>
    <w:rsid w:val="4E1F09BA"/>
    <w:rsid w:val="508A3C3D"/>
    <w:rsid w:val="5184451E"/>
    <w:rsid w:val="53A40AE7"/>
    <w:rsid w:val="53B4235C"/>
    <w:rsid w:val="54C87A0C"/>
    <w:rsid w:val="557F50D4"/>
    <w:rsid w:val="55EA0BDF"/>
    <w:rsid w:val="56463B06"/>
    <w:rsid w:val="585B03EC"/>
    <w:rsid w:val="591A219C"/>
    <w:rsid w:val="5AD33EB7"/>
    <w:rsid w:val="5BD971D6"/>
    <w:rsid w:val="5C2F14A5"/>
    <w:rsid w:val="5CC75A2D"/>
    <w:rsid w:val="5DE001F2"/>
    <w:rsid w:val="60F6762D"/>
    <w:rsid w:val="617027D1"/>
    <w:rsid w:val="621B4348"/>
    <w:rsid w:val="62F10EAA"/>
    <w:rsid w:val="65570C15"/>
    <w:rsid w:val="65AA305A"/>
    <w:rsid w:val="65B330C3"/>
    <w:rsid w:val="65D85227"/>
    <w:rsid w:val="676E0E98"/>
    <w:rsid w:val="69457C65"/>
    <w:rsid w:val="69A046E3"/>
    <w:rsid w:val="69A72DD8"/>
    <w:rsid w:val="69F56E68"/>
    <w:rsid w:val="6DB82533"/>
    <w:rsid w:val="6E9C1D21"/>
    <w:rsid w:val="6F20524A"/>
    <w:rsid w:val="6F4E5000"/>
    <w:rsid w:val="6FA274D5"/>
    <w:rsid w:val="70115909"/>
    <w:rsid w:val="70602A39"/>
    <w:rsid w:val="70CD0055"/>
    <w:rsid w:val="718A4B28"/>
    <w:rsid w:val="718D0A05"/>
    <w:rsid w:val="7255511F"/>
    <w:rsid w:val="72B73E2B"/>
    <w:rsid w:val="72C83637"/>
    <w:rsid w:val="72FE3D3A"/>
    <w:rsid w:val="74801BE1"/>
    <w:rsid w:val="74E351FD"/>
    <w:rsid w:val="76DC5086"/>
    <w:rsid w:val="78801734"/>
    <w:rsid w:val="7B8A2BC3"/>
    <w:rsid w:val="7BFD12B6"/>
    <w:rsid w:val="7C3A5DE7"/>
    <w:rsid w:val="7C7B5FAB"/>
    <w:rsid w:val="7CAC53DE"/>
    <w:rsid w:val="7DFD6691"/>
    <w:rsid w:val="7EBC79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0"/>
    <w:rPr>
      <w:rFonts w:ascii="Tahoma" w:hAnsi="Tahoma"/>
      <w:kern w:val="0"/>
      <w:sz w:val="24"/>
      <w:szCs w:val="20"/>
      <w:lang w:val="en-GB"/>
    </w:rPr>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rPr>
      <w:rFonts w:ascii="宋体" w:cs="Courier New"/>
      <w:szCs w:val="21"/>
    </w:rPr>
  </w:style>
  <w:style w:type="paragraph" w:styleId="5">
    <w:name w:val="Date"/>
    <w:basedOn w:val="1"/>
    <w:next w:val="1"/>
    <w:link w:val="18"/>
    <w:unhideWhenUsed/>
    <w:qFormat/>
    <w:uiPriority w:val="99"/>
    <w:pPr>
      <w:ind w:left="100" w:leftChars="2500"/>
    </w:pPr>
  </w:style>
  <w:style w:type="paragraph" w:styleId="6">
    <w:name w:val="Balloon Text"/>
    <w:basedOn w:val="1"/>
    <w:link w:val="17"/>
    <w:unhideWhenUsed/>
    <w:qFormat/>
    <w:uiPriority w:val="99"/>
    <w:rPr>
      <w:sz w:val="18"/>
      <w:szCs w:val="18"/>
    </w:r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2"/>
    <w:next w:val="2"/>
    <w:link w:val="21"/>
    <w:semiHidden/>
    <w:unhideWhenUsed/>
    <w:qFormat/>
    <w:uiPriority w:val="99"/>
    <w:rPr>
      <w:b/>
      <w:bCs/>
    </w:rPr>
  </w:style>
  <w:style w:type="character" w:styleId="13">
    <w:name w:val="Strong"/>
    <w:qFormat/>
    <w:uiPriority w:val="0"/>
    <w:rPr>
      <w:rFonts w:ascii="Tahoma" w:hAnsi="Tahoma"/>
      <w:b/>
      <w:bCs/>
      <w:kern w:val="0"/>
      <w:sz w:val="24"/>
      <w:szCs w:val="20"/>
      <w:lang w:val="en-GB"/>
    </w:rPr>
  </w:style>
  <w:style w:type="character" w:styleId="14">
    <w:name w:val="page number"/>
    <w:basedOn w:val="12"/>
    <w:unhideWhenUsed/>
    <w:qFormat/>
    <w:uiPriority w:val="99"/>
  </w:style>
  <w:style w:type="character" w:styleId="15">
    <w:name w:val="annotation reference"/>
    <w:semiHidden/>
    <w:unhideWhenUsed/>
    <w:qFormat/>
    <w:uiPriority w:val="99"/>
    <w:rPr>
      <w:rFonts w:ascii="Tahoma" w:hAnsi="Tahoma"/>
      <w:kern w:val="0"/>
      <w:sz w:val="21"/>
      <w:szCs w:val="21"/>
      <w:lang w:val="en-GB"/>
    </w:rPr>
  </w:style>
  <w:style w:type="paragraph" w:customStyle="1" w:styleId="16">
    <w:name w:val=" Char Char Char Char"/>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character" w:customStyle="1" w:styleId="17">
    <w:name w:val="批注框文本 Char"/>
    <w:link w:val="6"/>
    <w:semiHidden/>
    <w:uiPriority w:val="99"/>
    <w:rPr>
      <w:rFonts w:ascii="Tahoma" w:hAnsi="Tahoma"/>
      <w:kern w:val="2"/>
      <w:sz w:val="18"/>
      <w:szCs w:val="18"/>
      <w:lang w:val="en-GB"/>
    </w:rPr>
  </w:style>
  <w:style w:type="character" w:customStyle="1" w:styleId="18">
    <w:name w:val="日期 Char"/>
    <w:link w:val="5"/>
    <w:semiHidden/>
    <w:qFormat/>
    <w:uiPriority w:val="99"/>
    <w:rPr>
      <w:rFonts w:ascii="Tahoma" w:hAnsi="Tahoma"/>
      <w:kern w:val="2"/>
      <w:sz w:val="21"/>
      <w:szCs w:val="20"/>
      <w:lang w:val="en-GB"/>
    </w:rPr>
  </w:style>
  <w:style w:type="character" w:customStyle="1" w:styleId="19">
    <w:name w:val="apple-converted-space"/>
    <w:basedOn w:val="12"/>
    <w:qFormat/>
    <w:uiPriority w:val="0"/>
  </w:style>
  <w:style w:type="character" w:customStyle="1" w:styleId="20">
    <w:name w:val="批注文字 Char"/>
    <w:link w:val="2"/>
    <w:qFormat/>
    <w:uiPriority w:val="99"/>
    <w:rPr>
      <w:rFonts w:ascii="Tahoma" w:hAnsi="Tahoma"/>
      <w:kern w:val="2"/>
      <w:sz w:val="21"/>
      <w:szCs w:val="20"/>
      <w:lang w:val="en-GB"/>
    </w:rPr>
  </w:style>
  <w:style w:type="character" w:customStyle="1" w:styleId="21">
    <w:name w:val="批注主题 Char"/>
    <w:link w:val="10"/>
    <w:semiHidden/>
    <w:qFormat/>
    <w:uiPriority w:val="99"/>
    <w:rPr>
      <w:rFonts w:ascii="Tahoma" w:hAnsi="Tahoma"/>
      <w:b/>
      <w:bCs/>
      <w:kern w:val="2"/>
      <w:sz w:val="21"/>
      <w:szCs w:val="20"/>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717</Words>
  <Characters>4089</Characters>
  <Lines>34</Lines>
  <Paragraphs>9</Paragraphs>
  <TotalTime>156</TotalTime>
  <ScaleCrop>false</ScaleCrop>
  <LinksUpToDate>false</LinksUpToDate>
  <CharactersWithSpaces>4797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2020-03-11T07:56:00Z</dcterms:created>
  <dc:creator>Lenovo</dc:creator>
  <cp:lastModifiedBy>admin</cp:lastModifiedBy>
  <cp:lastPrinted>2020-03-16T02:36:00Z</cp:lastPrinted>
  <dcterms:modified xsi:type="dcterms:W3CDTF">2021-04-16T07:13:14Z</dcterms:modified>
  <dc:title>关于印发实施《福建省社会科学规划项目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EB21B62F05AA423EAF9756F7B2217E28</vt:lpwstr>
  </property>
</Properties>
</file>