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5E93E">
      <w:pPr>
        <w:pStyle w:val="4"/>
        <w:keepNext w:val="0"/>
        <w:keepLines w:val="0"/>
        <w:widowControl/>
        <w:suppressLineNumbers w:val="0"/>
        <w:shd w:val="clear" w:fill="FFFFFF"/>
        <w:ind w:left="0" w:firstLine="0"/>
        <w:jc w:val="center"/>
        <w:rPr>
          <w:rFonts w:hint="eastAsia" w:ascii="华文中宋" w:hAnsi="华文中宋" w:eastAsia="华文中宋" w:cs="华文中宋"/>
          <w:i w:val="0"/>
          <w:iCs w:val="0"/>
          <w:caps w:val="0"/>
          <w:color w:val="auto"/>
          <w:spacing w:val="0"/>
          <w:sz w:val="36"/>
          <w:szCs w:val="36"/>
        </w:rPr>
      </w:pPr>
      <w:r>
        <w:rPr>
          <w:rStyle w:val="7"/>
          <w:rFonts w:hint="eastAsia" w:ascii="华文中宋" w:hAnsi="华文中宋" w:eastAsia="华文中宋" w:cs="华文中宋"/>
          <w:i w:val="0"/>
          <w:iCs w:val="0"/>
          <w:caps w:val="0"/>
          <w:color w:val="auto"/>
          <w:spacing w:val="0"/>
          <w:sz w:val="36"/>
          <w:szCs w:val="36"/>
          <w:shd w:val="clear" w:fill="FFFFFF"/>
        </w:rPr>
        <w:t>2025年度全国教育科学规划终身教育体系研究专项申报公告</w:t>
      </w:r>
    </w:p>
    <w:p w14:paraId="59F3B9B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rPr>
        <w:t>为做好全国教育科学规划终身教育体系研究专项（以下简称终身专项）申报工作，现就有关事项公告如下。</w:t>
      </w:r>
    </w:p>
    <w:p w14:paraId="37C7530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2" w:firstLineChars="200"/>
        <w:jc w:val="left"/>
        <w:textAlignment w:val="auto"/>
        <w:rPr>
          <w:rStyle w:val="7"/>
          <w:rFonts w:hint="eastAsia" w:ascii="仿宋" w:hAnsi="仿宋" w:eastAsia="仿宋" w:cs="仿宋"/>
          <w:i w:val="0"/>
          <w:iCs w:val="0"/>
          <w:caps w:val="0"/>
          <w:color w:val="auto"/>
          <w:spacing w:val="0"/>
          <w:sz w:val="30"/>
          <w:szCs w:val="30"/>
          <w:shd w:val="clear" w:fill="FFFFFF"/>
          <w:lang w:eastAsia="zh-CN"/>
        </w:rPr>
      </w:pPr>
      <w:r>
        <w:rPr>
          <w:rStyle w:val="7"/>
          <w:rFonts w:hint="eastAsia" w:ascii="仿宋" w:hAnsi="仿宋" w:eastAsia="仿宋" w:cs="仿宋"/>
          <w:i w:val="0"/>
          <w:iCs w:val="0"/>
          <w:caps w:val="0"/>
          <w:color w:val="auto"/>
          <w:spacing w:val="0"/>
          <w:sz w:val="30"/>
          <w:szCs w:val="30"/>
          <w:shd w:val="clear" w:fill="FFFFFF"/>
        </w:rPr>
        <w:t>一、专项目的</w:t>
      </w:r>
    </w:p>
    <w:p w14:paraId="0CAA2F7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rPr>
        <w:t>终身专项面向教育强国建设重大部署、重点任务和综合改革实践需要，围绕引领和服务学习型城市和学习型社区建设、完善国家开放大学体系、建好国家老年大学、加强学习型社会数字基础设施建设、建好国家数字大学等战略任务开展研究，突出研究与实践相结合，突出数据支撑，为构建泛在可及的终身教育体系提供决策支撑。</w:t>
      </w:r>
    </w:p>
    <w:p w14:paraId="4690DB7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2" w:firstLineChars="200"/>
        <w:jc w:val="left"/>
        <w:textAlignment w:val="auto"/>
        <w:rPr>
          <w:rStyle w:val="7"/>
          <w:rFonts w:hint="eastAsia" w:ascii="仿宋" w:hAnsi="仿宋" w:eastAsia="仿宋" w:cs="仿宋"/>
          <w:i w:val="0"/>
          <w:iCs w:val="0"/>
          <w:caps w:val="0"/>
          <w:color w:val="auto"/>
          <w:spacing w:val="0"/>
          <w:sz w:val="30"/>
          <w:szCs w:val="30"/>
          <w:shd w:val="clear" w:fill="FFFFFF"/>
          <w:lang w:eastAsia="zh-CN"/>
        </w:rPr>
      </w:pPr>
      <w:r>
        <w:rPr>
          <w:rStyle w:val="7"/>
          <w:rFonts w:hint="eastAsia" w:ascii="仿宋" w:hAnsi="仿宋" w:eastAsia="仿宋" w:cs="仿宋"/>
          <w:i w:val="0"/>
          <w:iCs w:val="0"/>
          <w:caps w:val="0"/>
          <w:color w:val="auto"/>
          <w:spacing w:val="0"/>
          <w:sz w:val="30"/>
          <w:szCs w:val="30"/>
          <w:shd w:val="clear" w:fill="FFFFFF"/>
        </w:rPr>
        <w:t>二、选题指南</w:t>
      </w:r>
    </w:p>
    <w:p w14:paraId="7F1BBBD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rPr>
        <w:t>申报终身专项，重大和重点项目必须使用指南中的题目，按照题目的目标任务对研究进行设计。一般项目可对指南中的题目进行适当微调，但不得大幅改变题目中的关键词。</w:t>
      </w:r>
    </w:p>
    <w:p w14:paraId="24F8844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rPr>
        <w:t>专项每个选题原则上只确立1个立项项目。</w:t>
      </w:r>
    </w:p>
    <w:p w14:paraId="1281F9A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2" w:firstLineChars="200"/>
        <w:jc w:val="left"/>
        <w:textAlignment w:val="auto"/>
        <w:rPr>
          <w:rStyle w:val="7"/>
          <w:rFonts w:hint="eastAsia" w:ascii="仿宋" w:hAnsi="仿宋" w:eastAsia="仿宋" w:cs="仿宋"/>
          <w:i w:val="0"/>
          <w:iCs w:val="0"/>
          <w:caps w:val="0"/>
          <w:color w:val="auto"/>
          <w:spacing w:val="0"/>
          <w:sz w:val="30"/>
          <w:szCs w:val="30"/>
          <w:shd w:val="clear" w:fill="FFFFFF"/>
          <w:lang w:eastAsia="zh-CN"/>
        </w:rPr>
      </w:pPr>
      <w:r>
        <w:rPr>
          <w:rStyle w:val="7"/>
          <w:rFonts w:hint="eastAsia" w:ascii="仿宋" w:hAnsi="仿宋" w:eastAsia="仿宋" w:cs="仿宋"/>
          <w:i w:val="0"/>
          <w:iCs w:val="0"/>
          <w:caps w:val="0"/>
          <w:color w:val="auto"/>
          <w:spacing w:val="0"/>
          <w:sz w:val="30"/>
          <w:szCs w:val="30"/>
          <w:shd w:val="clear" w:fill="FFFFFF"/>
        </w:rPr>
        <w:t>三、资助额度</w:t>
      </w:r>
    </w:p>
    <w:p w14:paraId="5E5BAD1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rPr>
        <w:t>专项项目类别和资助额度分别为：重大项目，每项资助额度为60万元；重点项目，每项资助额度为35万元；一般项目，每项资助额度为20万元。</w:t>
      </w:r>
    </w:p>
    <w:p w14:paraId="2632922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2" w:firstLineChars="200"/>
        <w:jc w:val="left"/>
        <w:textAlignment w:val="auto"/>
        <w:rPr>
          <w:rStyle w:val="7"/>
          <w:rFonts w:hint="eastAsia" w:ascii="仿宋" w:hAnsi="仿宋" w:eastAsia="仿宋" w:cs="仿宋"/>
          <w:i w:val="0"/>
          <w:iCs w:val="0"/>
          <w:caps w:val="0"/>
          <w:color w:val="auto"/>
          <w:spacing w:val="0"/>
          <w:sz w:val="30"/>
          <w:szCs w:val="30"/>
          <w:shd w:val="clear" w:fill="FFFFFF"/>
          <w:lang w:eastAsia="zh-CN"/>
        </w:rPr>
      </w:pPr>
      <w:r>
        <w:rPr>
          <w:rStyle w:val="7"/>
          <w:rFonts w:hint="eastAsia" w:ascii="仿宋" w:hAnsi="仿宋" w:eastAsia="仿宋" w:cs="仿宋"/>
          <w:i w:val="0"/>
          <w:iCs w:val="0"/>
          <w:caps w:val="0"/>
          <w:color w:val="auto"/>
          <w:spacing w:val="0"/>
          <w:sz w:val="30"/>
          <w:szCs w:val="30"/>
          <w:shd w:val="clear" w:fill="FFFFFF"/>
        </w:rPr>
        <w:t>四、申报条件</w:t>
      </w:r>
    </w:p>
    <w:p w14:paraId="6480689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rPr>
        <w:t>项目申请人须具备下列条件</w:t>
      </w:r>
    </w:p>
    <w:p w14:paraId="07C5CB4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rPr>
        <w:t>1.申请人须遵守中华人民共和国宪法和法律，坚持正确的政治方向、价值取向和研究导向，遵守全国教育科学规划有关管理规定。</w:t>
      </w:r>
    </w:p>
    <w:p w14:paraId="0036EBD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rPr>
        <w:t>2.专项主要面向开放大学和高等学校，部委直属单位，省级以上研究机构、党校（行政学院）等机构的研究人员申报。</w:t>
      </w:r>
    </w:p>
    <w:p w14:paraId="463F922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rPr>
        <w:t>3.申请重大项目须具有正高级专业技术职称，或厅局级（含）以上领导职务；申请重点项目和一般项目须具有副高级以上（含）专业技术职称，或厅局级（含）以上领导职务，或具有博士学位。团队成员须包含开放大学在职教学或科研人员。</w:t>
      </w:r>
    </w:p>
    <w:p w14:paraId="4E85C4E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rPr>
        <w:t>4.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p>
    <w:p w14:paraId="465A718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rPr>
        <w:t>5.凡以博士学位论文或博士后出站报告为基础申报本次终身专项，须在《全国教育科学规划项目申请书》（以下简称《申请书》）中，注明所申请项目与学位论文（出站报告）的联系和区别，申请鉴定结项时须提交学位论文（出站报告）原件。不得以已出版的内容基本相同的研究成果申请终身专项。</w:t>
      </w:r>
    </w:p>
    <w:p w14:paraId="7C6800D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2" w:firstLineChars="200"/>
        <w:jc w:val="left"/>
        <w:textAlignment w:val="auto"/>
        <w:rPr>
          <w:rStyle w:val="7"/>
          <w:rFonts w:hint="eastAsia" w:ascii="仿宋" w:hAnsi="仿宋" w:eastAsia="仿宋" w:cs="仿宋"/>
          <w:i w:val="0"/>
          <w:iCs w:val="0"/>
          <w:caps w:val="0"/>
          <w:color w:val="auto"/>
          <w:spacing w:val="0"/>
          <w:sz w:val="30"/>
          <w:szCs w:val="30"/>
          <w:shd w:val="clear" w:fill="FFFFFF"/>
          <w:lang w:eastAsia="zh-CN"/>
        </w:rPr>
      </w:pPr>
      <w:r>
        <w:rPr>
          <w:rStyle w:val="7"/>
          <w:rFonts w:hint="eastAsia" w:ascii="仿宋" w:hAnsi="仿宋" w:eastAsia="仿宋" w:cs="仿宋"/>
          <w:i w:val="0"/>
          <w:iCs w:val="0"/>
          <w:caps w:val="0"/>
          <w:color w:val="auto"/>
          <w:spacing w:val="0"/>
          <w:sz w:val="30"/>
          <w:szCs w:val="30"/>
          <w:shd w:val="clear" w:fill="FFFFFF"/>
        </w:rPr>
        <w:t>五、申报要求</w:t>
      </w:r>
    </w:p>
    <w:p w14:paraId="26557DC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rPr>
        <w:t>1.终身专项申报</w:t>
      </w:r>
      <w:r>
        <w:rPr>
          <w:rStyle w:val="7"/>
          <w:rFonts w:hint="eastAsia" w:ascii="仿宋" w:hAnsi="仿宋" w:eastAsia="仿宋" w:cs="仿宋"/>
          <w:i w:val="0"/>
          <w:iCs w:val="0"/>
          <w:caps w:val="0"/>
          <w:color w:val="auto"/>
          <w:spacing w:val="0"/>
          <w:sz w:val="30"/>
          <w:szCs w:val="30"/>
          <w:shd w:val="clear" w:fill="FFFFFF"/>
        </w:rPr>
        <w:t>不限额</w:t>
      </w:r>
      <w:r>
        <w:rPr>
          <w:rFonts w:hint="eastAsia" w:ascii="仿宋" w:hAnsi="仿宋" w:eastAsia="仿宋" w:cs="仿宋"/>
          <w:i w:val="0"/>
          <w:iCs w:val="0"/>
          <w:caps w:val="0"/>
          <w:color w:val="auto"/>
          <w:spacing w:val="0"/>
          <w:sz w:val="30"/>
          <w:szCs w:val="30"/>
          <w:shd w:val="clear" w:fill="FFFFFF"/>
        </w:rPr>
        <w:t>。各二级管理机构和申请单位要着力提高申报质量，宁缺毋滥。</w:t>
      </w:r>
    </w:p>
    <w:p w14:paraId="4D2875B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rPr>
        <w:t>2.专项研究年限为2-3年，不得延期。一般项目，要求至少1篇决策咨询报告被《全国教育科学规划课题成果要报》刊发、或被专项合作单位及以上领导肯定性批示、或被专项合作单位及以上党政机关的内刊刊发，同时至少发表1篇中文核心期刊（或SCI、SSCI、CSSCI、A&amp;HCI）论文。重点项目和重大项目的成果要求须高于一般项目，成果形式、数量和级别与资助金额和研究年限相匹配。</w:t>
      </w:r>
    </w:p>
    <w:p w14:paraId="7B522D1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rPr>
        <w:t>3.申请人应按照《全国教育科学规划管理办法》和《全国教育科学规划课题资金管理办法》（详见我办网站</w:t>
      </w:r>
      <w:r>
        <w:rPr>
          <w:rFonts w:hint="eastAsia" w:ascii="仿宋" w:hAnsi="仿宋" w:eastAsia="仿宋" w:cs="仿宋"/>
          <w:i w:val="0"/>
          <w:iCs w:val="0"/>
          <w:caps w:val="0"/>
          <w:color w:val="auto"/>
          <w:spacing w:val="0"/>
          <w:sz w:val="30"/>
          <w:szCs w:val="30"/>
          <w:u w:val="none"/>
          <w:shd w:val="clear" w:fill="FFFFFF"/>
        </w:rPr>
        <w:fldChar w:fldCharType="begin"/>
      </w:r>
      <w:r>
        <w:rPr>
          <w:rFonts w:hint="eastAsia" w:ascii="仿宋" w:hAnsi="仿宋" w:eastAsia="仿宋" w:cs="仿宋"/>
          <w:i w:val="0"/>
          <w:iCs w:val="0"/>
          <w:caps w:val="0"/>
          <w:color w:val="auto"/>
          <w:spacing w:val="0"/>
          <w:sz w:val="30"/>
          <w:szCs w:val="30"/>
          <w:u w:val="none"/>
          <w:shd w:val="clear" w:fill="FFFFFF"/>
        </w:rPr>
        <w:instrText xml:space="preserve">HYPERLINK"https://onsgep.moe.edu.cn/"</w:instrText>
      </w:r>
      <w:r>
        <w:rPr>
          <w:rFonts w:hint="eastAsia" w:ascii="仿宋" w:hAnsi="仿宋" w:eastAsia="仿宋" w:cs="仿宋"/>
          <w:i w:val="0"/>
          <w:iCs w:val="0"/>
          <w:caps w:val="0"/>
          <w:color w:val="auto"/>
          <w:spacing w:val="0"/>
          <w:sz w:val="30"/>
          <w:szCs w:val="30"/>
          <w:u w:val="none"/>
          <w:shd w:val="clear" w:fill="FFFFFF"/>
        </w:rPr>
        <w:fldChar w:fldCharType="separate"/>
      </w:r>
      <w:r>
        <w:rPr>
          <w:rStyle w:val="8"/>
          <w:rFonts w:hint="eastAsia" w:ascii="仿宋" w:hAnsi="仿宋" w:eastAsia="仿宋" w:cs="仿宋"/>
          <w:i w:val="0"/>
          <w:iCs w:val="0"/>
          <w:caps w:val="0"/>
          <w:color w:val="auto"/>
          <w:spacing w:val="0"/>
          <w:sz w:val="30"/>
          <w:szCs w:val="30"/>
          <w:u w:val="none"/>
          <w:shd w:val="clear" w:fill="FFFFFF"/>
        </w:rPr>
        <w:t>https://onsgep.moe.edu.cn/</w:t>
      </w:r>
      <w:r>
        <w:rPr>
          <w:rFonts w:hint="eastAsia" w:ascii="仿宋" w:hAnsi="仿宋" w:eastAsia="仿宋" w:cs="仿宋"/>
          <w:i w:val="0"/>
          <w:iCs w:val="0"/>
          <w:caps w:val="0"/>
          <w:color w:val="auto"/>
          <w:spacing w:val="0"/>
          <w:sz w:val="30"/>
          <w:szCs w:val="30"/>
          <w:u w:val="none"/>
          <w:shd w:val="clear" w:fill="FFFFFF"/>
        </w:rPr>
        <w:fldChar w:fldCharType="end"/>
      </w:r>
      <w:r>
        <w:rPr>
          <w:rFonts w:hint="eastAsia" w:ascii="仿宋" w:hAnsi="仿宋" w:eastAsia="仿宋" w:cs="仿宋"/>
          <w:i w:val="0"/>
          <w:iCs w:val="0"/>
          <w:caps w:val="0"/>
          <w:color w:val="auto"/>
          <w:spacing w:val="0"/>
          <w:sz w:val="30"/>
          <w:szCs w:val="30"/>
          <w:shd w:val="clear" w:fill="FFFFFF"/>
        </w:rPr>
        <w:t>）的要求，根据实际需要编制科学合理的经费预算。</w:t>
      </w:r>
    </w:p>
    <w:p w14:paraId="70C966F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rPr>
        <w:t>4.申报人须严格按照《申请书》和《活页》要求，如实填写材料，保证没有知识产权争议，不得有违背科研诚信要求的行为。凡存在弄虚作假、抄袭剽窃等行为的，一经发现查实，取消五年申报资格。如获立项即予撤项并通报批评，列入不良科研信用记录，并责成所在单位按有关规定处理。</w:t>
      </w:r>
    </w:p>
    <w:p w14:paraId="747DD62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rPr>
        <w:t>5.项目负责人在项目执行期间要遵守相关承诺，履行约定义务，按期完成研究任务，申报时承诺的预期研究成果为项目结项时必须达到的要件，不得擅自变更。获准立项的《申请书》视为具有约束力的资助合同文本。最终成果实行通讯鉴定，鉴定等级予以公布。</w:t>
      </w:r>
    </w:p>
    <w:p w14:paraId="429B6F7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2" w:firstLineChars="200"/>
        <w:jc w:val="left"/>
        <w:textAlignment w:val="auto"/>
        <w:rPr>
          <w:rStyle w:val="7"/>
          <w:rFonts w:hint="eastAsia" w:ascii="仿宋" w:hAnsi="仿宋" w:eastAsia="仿宋" w:cs="仿宋"/>
          <w:i w:val="0"/>
          <w:iCs w:val="0"/>
          <w:caps w:val="0"/>
          <w:color w:val="auto"/>
          <w:spacing w:val="0"/>
          <w:sz w:val="30"/>
          <w:szCs w:val="30"/>
          <w:shd w:val="clear" w:fill="FFFFFF"/>
          <w:lang w:eastAsia="zh-CN"/>
        </w:rPr>
      </w:pPr>
      <w:r>
        <w:rPr>
          <w:rStyle w:val="7"/>
          <w:rFonts w:hint="eastAsia" w:ascii="仿宋" w:hAnsi="仿宋" w:eastAsia="仿宋" w:cs="仿宋"/>
          <w:i w:val="0"/>
          <w:iCs w:val="0"/>
          <w:caps w:val="0"/>
          <w:color w:val="auto"/>
          <w:spacing w:val="0"/>
          <w:sz w:val="30"/>
          <w:szCs w:val="30"/>
          <w:shd w:val="clear" w:fill="FFFFFF"/>
        </w:rPr>
        <w:t>六、工作安排</w:t>
      </w:r>
    </w:p>
    <w:p w14:paraId="437B926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rPr>
        <w:t>本年度终身专项实行</w:t>
      </w:r>
      <w:r>
        <w:rPr>
          <w:rStyle w:val="7"/>
          <w:rFonts w:hint="eastAsia" w:ascii="仿宋" w:hAnsi="仿宋" w:eastAsia="仿宋" w:cs="仿宋"/>
          <w:i w:val="0"/>
          <w:iCs w:val="0"/>
          <w:caps w:val="0"/>
          <w:color w:val="auto"/>
          <w:spacing w:val="0"/>
          <w:sz w:val="30"/>
          <w:szCs w:val="30"/>
          <w:shd w:val="clear" w:fill="FFFFFF"/>
        </w:rPr>
        <w:t>网络申报。</w:t>
      </w:r>
      <w:r>
        <w:rPr>
          <w:rFonts w:hint="eastAsia" w:ascii="仿宋" w:hAnsi="仿宋" w:eastAsia="仿宋" w:cs="仿宋"/>
          <w:i w:val="0"/>
          <w:iCs w:val="0"/>
          <w:caps w:val="0"/>
          <w:color w:val="auto"/>
          <w:spacing w:val="0"/>
          <w:sz w:val="30"/>
          <w:szCs w:val="30"/>
          <w:shd w:val="clear" w:fill="FFFFFF"/>
        </w:rPr>
        <w:t>“全国教育科学规划管理平台”（</w:t>
      </w:r>
      <w:r>
        <w:rPr>
          <w:rFonts w:hint="eastAsia" w:ascii="仿宋" w:hAnsi="仿宋" w:eastAsia="仿宋" w:cs="仿宋"/>
          <w:i w:val="0"/>
          <w:iCs w:val="0"/>
          <w:caps w:val="0"/>
          <w:color w:val="auto"/>
          <w:spacing w:val="0"/>
          <w:sz w:val="30"/>
          <w:szCs w:val="30"/>
          <w:u w:val="none"/>
          <w:shd w:val="clear" w:fill="FFFFFF"/>
        </w:rPr>
        <w:fldChar w:fldCharType="begin"/>
      </w:r>
      <w:r>
        <w:rPr>
          <w:rFonts w:hint="eastAsia" w:ascii="仿宋" w:hAnsi="仿宋" w:eastAsia="仿宋" w:cs="仿宋"/>
          <w:i w:val="0"/>
          <w:iCs w:val="0"/>
          <w:caps w:val="0"/>
          <w:color w:val="auto"/>
          <w:spacing w:val="0"/>
          <w:sz w:val="30"/>
          <w:szCs w:val="30"/>
          <w:u w:val="none"/>
          <w:shd w:val="clear" w:fill="FFFFFF"/>
        </w:rPr>
        <w:instrText xml:space="preserve">HYPERLINK"https://202.205.185.227/"</w:instrText>
      </w:r>
      <w:r>
        <w:rPr>
          <w:rFonts w:hint="eastAsia" w:ascii="仿宋" w:hAnsi="仿宋" w:eastAsia="仿宋" w:cs="仿宋"/>
          <w:i w:val="0"/>
          <w:iCs w:val="0"/>
          <w:caps w:val="0"/>
          <w:color w:val="auto"/>
          <w:spacing w:val="0"/>
          <w:sz w:val="30"/>
          <w:szCs w:val="30"/>
          <w:u w:val="none"/>
          <w:shd w:val="clear" w:fill="FFFFFF"/>
        </w:rPr>
        <w:fldChar w:fldCharType="separate"/>
      </w:r>
      <w:r>
        <w:rPr>
          <w:rStyle w:val="8"/>
          <w:rFonts w:hint="eastAsia" w:ascii="仿宋" w:hAnsi="仿宋" w:eastAsia="仿宋" w:cs="仿宋"/>
          <w:i w:val="0"/>
          <w:iCs w:val="0"/>
          <w:caps w:val="0"/>
          <w:color w:val="auto"/>
          <w:spacing w:val="0"/>
          <w:sz w:val="30"/>
          <w:szCs w:val="30"/>
          <w:u w:val="none"/>
          <w:shd w:val="clear" w:fill="FFFFFF"/>
        </w:rPr>
        <w:t>https://202.205.185.227/</w:t>
      </w:r>
      <w:r>
        <w:rPr>
          <w:rFonts w:hint="eastAsia" w:ascii="仿宋" w:hAnsi="仿宋" w:eastAsia="仿宋" w:cs="仿宋"/>
          <w:i w:val="0"/>
          <w:iCs w:val="0"/>
          <w:caps w:val="0"/>
          <w:color w:val="auto"/>
          <w:spacing w:val="0"/>
          <w:sz w:val="30"/>
          <w:szCs w:val="30"/>
          <w:u w:val="none"/>
          <w:shd w:val="clear" w:fill="FFFFFF"/>
        </w:rPr>
        <w:fldChar w:fldCharType="end"/>
      </w:r>
      <w:r>
        <w:rPr>
          <w:rFonts w:hint="eastAsia" w:ascii="仿宋" w:hAnsi="仿宋" w:eastAsia="仿宋" w:cs="仿宋"/>
          <w:i w:val="0"/>
          <w:iCs w:val="0"/>
          <w:caps w:val="0"/>
          <w:color w:val="auto"/>
          <w:spacing w:val="0"/>
          <w:sz w:val="30"/>
          <w:szCs w:val="30"/>
          <w:shd w:val="clear"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p>
    <w:p w14:paraId="4875F65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申报系统于2025年4月28日零时开放。申报人须于5月21日前在系统中提交定稿版本的申请材料由学校审核。待学校审核通过后统一打印盖章，申请人将加盖公章并签字的申请书扫描件与PDF版本的《活页》一起按时提交到平台上。要确保线上线下《申请书》和《活页》内容完全一致。逾期系统自动关闭，不再受理申报。</w:t>
      </w:r>
    </w:p>
    <w:p w14:paraId="692209C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若有问题需咨询，请先查看《2025年度全国教育科学规划各类项目申报常见问题答疑》和《</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HYPERLINK"https://202.205.185.227/indexAction!do_downLoad.action?fId=ff8080818f527e3a018f5b2a02b21127"</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lang w:val="en-US" w:eastAsia="zh-CN"/>
        </w:rPr>
        <w:t>全国教育科学规划管理平台操作手册-其他类别项目申报</w:t>
      </w:r>
      <w:r>
        <w:rPr>
          <w:rFonts w:hint="eastAsia" w:ascii="仿宋" w:hAnsi="仿宋" w:eastAsia="仿宋" w:cs="仿宋"/>
          <w:sz w:val="30"/>
          <w:szCs w:val="30"/>
          <w:lang w:val="en-US" w:eastAsia="zh-CN"/>
        </w:rPr>
        <w:fldChar w:fldCharType="end"/>
      </w:r>
      <w:r>
        <w:rPr>
          <w:rFonts w:hint="eastAsia" w:ascii="仿宋" w:hAnsi="仿宋" w:eastAsia="仿宋" w:cs="仿宋"/>
          <w:sz w:val="30"/>
          <w:szCs w:val="30"/>
          <w:lang w:val="en-US" w:eastAsia="zh-CN"/>
        </w:rPr>
        <w:t>》。再有疑问，请咨询社科处。</w:t>
      </w:r>
    </w:p>
    <w:p w14:paraId="639D10A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平台系统及技术问题请咨询400-800-1636，电子信箱：</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HYPERLINK"mailto:support@e-plugger.com%E3%80%82"</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lang w:val="en-US" w:eastAsia="zh-CN"/>
        </w:rPr>
        <w:t>support@e-plugger.com。</w:t>
      </w:r>
      <w:r>
        <w:rPr>
          <w:rFonts w:hint="eastAsia" w:ascii="仿宋" w:hAnsi="仿宋" w:eastAsia="仿宋" w:cs="仿宋"/>
          <w:sz w:val="30"/>
          <w:szCs w:val="30"/>
          <w:lang w:val="en-US" w:eastAsia="zh-CN"/>
        </w:rPr>
        <w:fldChar w:fldCharType="end"/>
      </w:r>
      <w:r>
        <w:rPr>
          <w:rFonts w:hint="eastAsia" w:ascii="仿宋" w:hAnsi="仿宋" w:eastAsia="仿宋" w:cs="仿宋"/>
          <w:sz w:val="30"/>
          <w:szCs w:val="30"/>
          <w:lang w:val="en-US" w:eastAsia="zh-CN"/>
        </w:rPr>
        <w:br w:type="textWrapping"/>
      </w:r>
    </w:p>
    <w:p w14:paraId="6339C918">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社科处</w:t>
      </w:r>
    </w:p>
    <w:p w14:paraId="2BA7253A">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2025年4月27日</w:t>
      </w:r>
    </w:p>
    <w:p w14:paraId="1499432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p>
    <w:p w14:paraId="75735BC6">
      <w:pPr>
        <w:rPr>
          <w:rFonts w:hint="eastAsia" w:ascii="仿宋" w:hAnsi="仿宋" w:eastAsia="仿宋" w:cs="仿宋"/>
          <w:color w:val="auto"/>
          <w:sz w:val="30"/>
          <w:szCs w:val="30"/>
        </w:rPr>
      </w:pPr>
      <w:r>
        <w:rPr>
          <w:rFonts w:hint="eastAsia" w:ascii="仿宋" w:hAnsi="仿宋" w:eastAsia="仿宋" w:cs="仿宋"/>
          <w:color w:val="auto"/>
          <w:sz w:val="30"/>
          <w:szCs w:val="30"/>
        </w:rPr>
        <w:br w:type="page"/>
      </w:r>
    </w:p>
    <w:p w14:paraId="102B248B">
      <w:pPr>
        <w:spacing w:line="600" w:lineRule="exact"/>
        <w:ind w:left="0" w:leftChars="0" w:firstLine="0" w:firstLineChars="0"/>
        <w:jc w:val="center"/>
        <w:rPr>
          <w:rFonts w:ascii="华文中宋" w:hAnsi="华文中宋" w:eastAsia="华文中宋" w:cs="华文中宋"/>
          <w:sz w:val="36"/>
          <w:szCs w:val="36"/>
        </w:rPr>
      </w:pPr>
      <w:r>
        <w:rPr>
          <w:rFonts w:hint="eastAsia" w:ascii="华文中宋" w:hAnsi="华文中宋" w:eastAsia="华文中宋" w:cs="华文中宋"/>
          <w:sz w:val="36"/>
          <w:szCs w:val="36"/>
        </w:rPr>
        <w:t>2025年度全国教育科学规划终身教育体系</w:t>
      </w:r>
    </w:p>
    <w:p w14:paraId="0D01909B">
      <w:pPr>
        <w:spacing w:line="600" w:lineRule="exact"/>
        <w:ind w:left="0" w:leftChars="0" w:firstLine="0" w:firstLineChars="0"/>
        <w:jc w:val="center"/>
        <w:rPr>
          <w:rFonts w:ascii="华文中宋" w:hAnsi="华文中宋" w:eastAsia="华文中宋" w:cs="华文中宋"/>
          <w:sz w:val="36"/>
          <w:szCs w:val="36"/>
        </w:rPr>
      </w:pPr>
      <w:r>
        <w:rPr>
          <w:rFonts w:hint="eastAsia" w:ascii="华文中宋" w:hAnsi="华文中宋" w:eastAsia="华文中宋" w:cs="华文中宋"/>
          <w:sz w:val="36"/>
          <w:szCs w:val="36"/>
        </w:rPr>
        <w:t>研究专项指南</w:t>
      </w:r>
      <w:bookmarkStart w:id="0" w:name="_GoBack"/>
      <w:bookmarkEnd w:id="0"/>
    </w:p>
    <w:p w14:paraId="4BC1D2D4">
      <w:pPr>
        <w:ind w:firstLine="600"/>
        <w:rPr>
          <w:rFonts w:hint="eastAsia"/>
        </w:rPr>
      </w:pPr>
    </w:p>
    <w:p w14:paraId="26E73007">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仿宋" w:hAnsi="仿宋" w:eastAsia="仿宋" w:cs="仿宋"/>
          <w:sz w:val="30"/>
          <w:szCs w:val="30"/>
        </w:rPr>
      </w:pPr>
      <w:r>
        <w:rPr>
          <w:rFonts w:hint="eastAsia" w:ascii="仿宋" w:hAnsi="仿宋" w:eastAsia="仿宋" w:cs="仿宋"/>
          <w:sz w:val="30"/>
          <w:szCs w:val="30"/>
        </w:rPr>
        <w:t>终身教育体系研究专项包括重大、重点和一般项目。申报重大和重点项目必须从指南中选题，并按照指南意图进行研究设计。一般项目可对指南中的题目进行适当微调，但不得大幅改变题目中的关键词。研究期限为2-3年，不得延期。每个选题原则上只确立1个立项项目。</w:t>
      </w:r>
    </w:p>
    <w:p w14:paraId="069C1BD2">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仿宋" w:hAnsi="仿宋" w:eastAsia="仿宋" w:cs="仿宋"/>
          <w:sz w:val="30"/>
          <w:szCs w:val="30"/>
        </w:rPr>
      </w:pPr>
    </w:p>
    <w:p w14:paraId="53301312">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仿宋" w:hAnsi="仿宋" w:eastAsia="仿宋" w:cs="仿宋"/>
          <w:sz w:val="30"/>
          <w:szCs w:val="30"/>
        </w:rPr>
      </w:pPr>
      <w:r>
        <w:rPr>
          <w:rFonts w:hint="eastAsia" w:ascii="仿宋" w:hAnsi="仿宋" w:eastAsia="仿宋" w:cs="仿宋"/>
          <w:sz w:val="30"/>
          <w:szCs w:val="30"/>
        </w:rPr>
        <w:t>1.数智赋能泛在可及的终身教育体系构建研究（重大）</w:t>
      </w:r>
    </w:p>
    <w:p w14:paraId="4A3A9CE8">
      <w:pPr>
        <w:keepNext w:val="0"/>
        <w:keepLines w:val="0"/>
        <w:pageBreakBefore w:val="0"/>
        <w:widowControl w:val="0"/>
        <w:kinsoku/>
        <w:wordWrap/>
        <w:overflowPunct/>
        <w:topLinePunct w:val="0"/>
        <w:autoSpaceDE/>
        <w:autoSpaceDN/>
        <w:bidi w:val="0"/>
        <w:adjustRightInd/>
        <w:snapToGrid/>
        <w:spacing w:line="520" w:lineRule="exact"/>
        <w:ind w:firstLine="602"/>
        <w:textAlignment w:val="auto"/>
        <w:rPr>
          <w:rFonts w:hint="eastAsia" w:ascii="仿宋" w:hAnsi="仿宋" w:eastAsia="仿宋" w:cs="仿宋"/>
          <w:sz w:val="30"/>
          <w:szCs w:val="30"/>
        </w:rPr>
      </w:pPr>
      <w:r>
        <w:rPr>
          <w:rFonts w:hint="eastAsia" w:ascii="仿宋" w:hAnsi="仿宋" w:eastAsia="仿宋" w:cs="仿宋"/>
          <w:b/>
          <w:bCs/>
          <w:sz w:val="30"/>
          <w:szCs w:val="30"/>
        </w:rPr>
        <w:t>指南意图：</w:t>
      </w:r>
      <w:r>
        <w:rPr>
          <w:rFonts w:hint="eastAsia" w:ascii="仿宋" w:hAnsi="仿宋" w:eastAsia="仿宋" w:cs="仿宋"/>
          <w:sz w:val="30"/>
          <w:szCs w:val="30"/>
        </w:rPr>
        <w:t>（1）开展数智赋能终身教育体系国际比较研究和大规模实践调研；（2）研究泛在可及的终身教育体系的内涵、特征以及数智时代终身教育的支撑体系；（3）研究终身教育体系的政策供给和保障制度；（4）研究支撑终身教育体系的数字基础设施以及建设标准；（5）研究与终身学习相适应的证书体系和学制学位新体系；（6）研究提出数智赋能终身教育助力学习型社会建设的政策建议。</w:t>
      </w:r>
    </w:p>
    <w:p w14:paraId="5078F0A7">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仿宋" w:hAnsi="仿宋" w:eastAsia="仿宋" w:cs="仿宋"/>
          <w:sz w:val="30"/>
          <w:szCs w:val="30"/>
        </w:rPr>
      </w:pPr>
      <w:r>
        <w:rPr>
          <w:rFonts w:hint="eastAsia" w:ascii="仿宋" w:hAnsi="仿宋" w:eastAsia="仿宋" w:cs="仿宋"/>
          <w:sz w:val="30"/>
          <w:szCs w:val="30"/>
        </w:rPr>
        <w:t>2.完善国家开放大学体系路径与机制研究（重点）</w:t>
      </w:r>
    </w:p>
    <w:p w14:paraId="3DD5500D">
      <w:pPr>
        <w:keepNext w:val="0"/>
        <w:keepLines w:val="0"/>
        <w:pageBreakBefore w:val="0"/>
        <w:widowControl w:val="0"/>
        <w:kinsoku/>
        <w:wordWrap/>
        <w:overflowPunct/>
        <w:topLinePunct w:val="0"/>
        <w:autoSpaceDE/>
        <w:autoSpaceDN/>
        <w:bidi w:val="0"/>
        <w:adjustRightInd/>
        <w:snapToGrid/>
        <w:spacing w:line="520" w:lineRule="exact"/>
        <w:ind w:firstLine="602"/>
        <w:textAlignment w:val="auto"/>
        <w:rPr>
          <w:rFonts w:hint="eastAsia" w:ascii="仿宋" w:hAnsi="仿宋" w:eastAsia="仿宋" w:cs="仿宋"/>
          <w:sz w:val="30"/>
          <w:szCs w:val="30"/>
        </w:rPr>
      </w:pPr>
      <w:r>
        <w:rPr>
          <w:rFonts w:hint="eastAsia" w:ascii="仿宋" w:hAnsi="仿宋" w:eastAsia="仿宋" w:cs="仿宋"/>
          <w:b/>
          <w:bCs/>
          <w:sz w:val="30"/>
          <w:szCs w:val="30"/>
        </w:rPr>
        <w:t>指南意图：</w:t>
      </w:r>
      <w:r>
        <w:rPr>
          <w:rFonts w:hint="eastAsia" w:ascii="仿宋" w:hAnsi="仿宋" w:eastAsia="仿宋" w:cs="仿宋"/>
          <w:sz w:val="30"/>
          <w:szCs w:val="30"/>
        </w:rPr>
        <w:t>（1）调研“两级统筹、四级办学”体系特征与运行现状，采集和分析四级办学体系的核心数据；（2）研制与数字赋能一体化协同推进开放大学教育教学综合改革相适应的四级办学基本条件指标；（3）研究开放大学体系治理模式和一体化协同发展的有效机制；（4）提出完善国家开放大学体系的政策建议。</w:t>
      </w:r>
    </w:p>
    <w:p w14:paraId="13F4F878">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仿宋" w:hAnsi="仿宋" w:eastAsia="仿宋" w:cs="仿宋"/>
          <w:sz w:val="30"/>
          <w:szCs w:val="30"/>
        </w:rPr>
      </w:pPr>
      <w:r>
        <w:rPr>
          <w:rFonts w:hint="eastAsia" w:ascii="仿宋" w:hAnsi="仿宋" w:eastAsia="仿宋" w:cs="仿宋"/>
          <w:sz w:val="30"/>
          <w:szCs w:val="30"/>
        </w:rPr>
        <w:t>3.国家老年大学可持续发展模式研究（重点）</w:t>
      </w:r>
    </w:p>
    <w:p w14:paraId="286788D7">
      <w:pPr>
        <w:keepNext w:val="0"/>
        <w:keepLines w:val="0"/>
        <w:pageBreakBefore w:val="0"/>
        <w:widowControl w:val="0"/>
        <w:kinsoku/>
        <w:wordWrap/>
        <w:overflowPunct/>
        <w:topLinePunct w:val="0"/>
        <w:autoSpaceDE/>
        <w:autoSpaceDN/>
        <w:bidi w:val="0"/>
        <w:adjustRightInd/>
        <w:snapToGrid/>
        <w:spacing w:line="520" w:lineRule="exact"/>
        <w:ind w:firstLine="602"/>
        <w:textAlignment w:val="auto"/>
        <w:rPr>
          <w:rFonts w:hint="eastAsia" w:ascii="仿宋" w:hAnsi="仿宋" w:eastAsia="仿宋" w:cs="仿宋"/>
          <w:sz w:val="30"/>
          <w:szCs w:val="30"/>
        </w:rPr>
      </w:pPr>
      <w:r>
        <w:rPr>
          <w:rFonts w:hint="eastAsia" w:ascii="仿宋" w:hAnsi="仿宋" w:eastAsia="仿宋" w:cs="仿宋"/>
          <w:b/>
          <w:bCs/>
          <w:sz w:val="30"/>
          <w:szCs w:val="30"/>
        </w:rPr>
        <w:t>指南意图：</w:t>
      </w:r>
      <w:r>
        <w:rPr>
          <w:rFonts w:hint="eastAsia" w:ascii="仿宋" w:hAnsi="仿宋" w:eastAsia="仿宋" w:cs="仿宋"/>
          <w:sz w:val="30"/>
          <w:szCs w:val="30"/>
        </w:rPr>
        <w:t>（1）开展全国范围内的老年教育现状调研；（2）研究老年教育多部门的协作模式；（3）研究老年教育多元投入长效机制；（4）研究国家老年大学体系纵向贯通与区域横向联动策略；（5）研究提出国家老年大学可持续发展模式的政策建议。</w:t>
      </w:r>
    </w:p>
    <w:p w14:paraId="32772FB5">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仿宋" w:hAnsi="仿宋" w:eastAsia="仿宋" w:cs="仿宋"/>
          <w:sz w:val="30"/>
          <w:szCs w:val="30"/>
        </w:rPr>
      </w:pPr>
      <w:r>
        <w:rPr>
          <w:rFonts w:hint="eastAsia" w:ascii="仿宋" w:hAnsi="仿宋" w:eastAsia="仿宋" w:cs="仿宋"/>
          <w:sz w:val="30"/>
          <w:szCs w:val="30"/>
        </w:rPr>
        <w:t>4.新形态国家数字大学研究（重点）</w:t>
      </w:r>
    </w:p>
    <w:p w14:paraId="1FA437B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b/>
          <w:bCs/>
          <w:sz w:val="30"/>
          <w:szCs w:val="30"/>
        </w:rPr>
        <w:t>指南意图：</w:t>
      </w:r>
      <w:r>
        <w:rPr>
          <w:rFonts w:hint="eastAsia" w:ascii="仿宋" w:hAnsi="仿宋" w:eastAsia="仿宋" w:cs="仿宋"/>
          <w:sz w:val="30"/>
          <w:szCs w:val="30"/>
        </w:rPr>
        <w:t>（1）研究当前主要国家的数字大学发展现状，提出新一代人工智能、元宇宙等前沿技术支撑下我国新形态国家数字大学的战略定位；（2）开展数智时代职业能力终身发展需求大规模调研，系统设计数字大学敏捷灵活的人才培养新范式；（3）研究构建数字大学服务终身教育的未来课堂、未来教师、未来校园和未来学习中心，建立智能化服务型教育新模式，开展实践应用和效果跟踪研究；（4）研究国家智慧教育平台的建设成果和应用转化机制、支撑大规模个性化学习的数字大学新形态教学平台及关键技术；（5）研究提出国家数字大学建设的政策建议。</w:t>
      </w:r>
    </w:p>
    <w:p w14:paraId="4C0D5FB7">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仿宋" w:hAnsi="仿宋" w:eastAsia="仿宋" w:cs="仿宋"/>
          <w:sz w:val="30"/>
          <w:szCs w:val="30"/>
        </w:rPr>
      </w:pPr>
      <w:r>
        <w:rPr>
          <w:rFonts w:hint="eastAsia" w:ascii="仿宋" w:hAnsi="仿宋" w:eastAsia="仿宋" w:cs="仿宋"/>
          <w:sz w:val="30"/>
          <w:szCs w:val="30"/>
        </w:rPr>
        <w:t>5.国家学分银行建设与学习成果认证机制研究（一般）</w:t>
      </w:r>
    </w:p>
    <w:p w14:paraId="6ACBDAD9">
      <w:pPr>
        <w:keepNext w:val="0"/>
        <w:keepLines w:val="0"/>
        <w:pageBreakBefore w:val="0"/>
        <w:widowControl w:val="0"/>
        <w:kinsoku/>
        <w:wordWrap/>
        <w:overflowPunct/>
        <w:topLinePunct w:val="0"/>
        <w:autoSpaceDE/>
        <w:autoSpaceDN/>
        <w:bidi w:val="0"/>
        <w:adjustRightInd/>
        <w:snapToGrid/>
        <w:spacing w:line="520" w:lineRule="exact"/>
        <w:ind w:firstLine="602"/>
        <w:textAlignment w:val="auto"/>
        <w:rPr>
          <w:rFonts w:hint="eastAsia" w:ascii="仿宋" w:hAnsi="仿宋" w:eastAsia="仿宋" w:cs="仿宋"/>
          <w:sz w:val="30"/>
          <w:szCs w:val="30"/>
        </w:rPr>
      </w:pPr>
      <w:r>
        <w:rPr>
          <w:rFonts w:hint="eastAsia" w:ascii="仿宋" w:hAnsi="仿宋" w:eastAsia="仿宋" w:cs="仿宋"/>
          <w:b/>
          <w:bCs/>
          <w:sz w:val="30"/>
          <w:szCs w:val="30"/>
        </w:rPr>
        <w:t>指南意图：</w:t>
      </w:r>
      <w:r>
        <w:rPr>
          <w:rFonts w:hint="eastAsia" w:ascii="仿宋" w:hAnsi="仿宋" w:eastAsia="仿宋" w:cs="仿宋"/>
          <w:sz w:val="30"/>
          <w:szCs w:val="30"/>
        </w:rPr>
        <w:t>（1）开展国际资历框架标准比较研究；（2）调研学习成果认证与转换现状及需求，研究基于行业能力标准的学习成果认证标准体系；（3）通过区域学分银行与行业学分银行的应用案例研究，完善国家学分银行服务体系；（4）研究提出以资历框架为基础、以学分银行为平台、以学习成果认证为重点的终身学习制度相关政策建议。</w:t>
      </w:r>
    </w:p>
    <w:p w14:paraId="43E1FA37">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仿宋" w:hAnsi="仿宋" w:eastAsia="仿宋" w:cs="仿宋"/>
          <w:sz w:val="30"/>
          <w:szCs w:val="30"/>
        </w:rPr>
      </w:pPr>
      <w:r>
        <w:rPr>
          <w:rFonts w:hint="eastAsia" w:ascii="仿宋" w:hAnsi="仿宋" w:eastAsia="仿宋" w:cs="仿宋"/>
          <w:sz w:val="30"/>
          <w:szCs w:val="30"/>
        </w:rPr>
        <w:t>6.教育数字化赋能学习型社区建设研究（一般）</w:t>
      </w:r>
    </w:p>
    <w:p w14:paraId="1992013C">
      <w:pPr>
        <w:keepNext w:val="0"/>
        <w:keepLines w:val="0"/>
        <w:pageBreakBefore w:val="0"/>
        <w:widowControl w:val="0"/>
        <w:kinsoku/>
        <w:wordWrap/>
        <w:overflowPunct/>
        <w:topLinePunct w:val="0"/>
        <w:autoSpaceDE/>
        <w:autoSpaceDN/>
        <w:bidi w:val="0"/>
        <w:adjustRightInd/>
        <w:snapToGrid/>
        <w:spacing w:line="520" w:lineRule="exact"/>
        <w:ind w:firstLine="602"/>
        <w:textAlignment w:val="auto"/>
        <w:rPr>
          <w:rFonts w:hint="eastAsia" w:ascii="仿宋" w:hAnsi="仿宋" w:eastAsia="仿宋" w:cs="仿宋"/>
          <w:sz w:val="30"/>
          <w:szCs w:val="30"/>
        </w:rPr>
      </w:pPr>
      <w:r>
        <w:rPr>
          <w:rFonts w:hint="eastAsia" w:ascii="仿宋" w:hAnsi="仿宋" w:eastAsia="仿宋" w:cs="仿宋"/>
          <w:b/>
          <w:bCs/>
          <w:sz w:val="30"/>
          <w:szCs w:val="30"/>
        </w:rPr>
        <w:t>指南意图：</w:t>
      </w:r>
      <w:r>
        <w:rPr>
          <w:rFonts w:hint="eastAsia" w:ascii="仿宋" w:hAnsi="仿宋" w:eastAsia="仿宋" w:cs="仿宋"/>
          <w:sz w:val="30"/>
          <w:szCs w:val="30"/>
        </w:rPr>
        <w:t>（1）研究新时代学习型社区建设的新特征和关键指标；（2）国内外教育数字化赋能学习型社区建设的比较研究；（3）研究开放大学以教育数字化赋能城市和农村两类学习型社区建设的典型模式；（4）研究国家终身教育智慧教育平台助力学习型社区建设的应用模式；（5）提出加快推进教育数字化赋能学习型社区建设的政策建议以及行动计划。</w:t>
      </w:r>
    </w:p>
    <w:p w14:paraId="0F2B8EAC">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仿宋" w:hAnsi="仿宋" w:eastAsia="仿宋" w:cs="仿宋"/>
          <w:sz w:val="30"/>
          <w:szCs w:val="30"/>
        </w:rPr>
      </w:pPr>
      <w:r>
        <w:rPr>
          <w:rFonts w:hint="eastAsia" w:ascii="仿宋" w:hAnsi="仿宋" w:eastAsia="仿宋" w:cs="仿宋"/>
          <w:sz w:val="30"/>
          <w:szCs w:val="30"/>
        </w:rPr>
        <w:t>7.数智赋能开放教育教学改革的理论与实践研究（一般）</w:t>
      </w:r>
    </w:p>
    <w:p w14:paraId="46AF0DFA">
      <w:pPr>
        <w:keepNext w:val="0"/>
        <w:keepLines w:val="0"/>
        <w:pageBreakBefore w:val="0"/>
        <w:widowControl w:val="0"/>
        <w:kinsoku/>
        <w:wordWrap/>
        <w:overflowPunct/>
        <w:topLinePunct w:val="0"/>
        <w:autoSpaceDE/>
        <w:autoSpaceDN/>
        <w:bidi w:val="0"/>
        <w:adjustRightInd/>
        <w:snapToGrid/>
        <w:spacing w:line="520" w:lineRule="exact"/>
        <w:ind w:firstLine="602"/>
        <w:textAlignment w:val="auto"/>
        <w:rPr>
          <w:rFonts w:hint="eastAsia" w:ascii="仿宋" w:hAnsi="仿宋" w:eastAsia="仿宋" w:cs="仿宋"/>
          <w:sz w:val="30"/>
          <w:szCs w:val="30"/>
        </w:rPr>
      </w:pPr>
      <w:r>
        <w:rPr>
          <w:rFonts w:hint="eastAsia" w:ascii="仿宋" w:hAnsi="仿宋" w:eastAsia="仿宋" w:cs="仿宋"/>
          <w:b/>
          <w:bCs/>
          <w:sz w:val="30"/>
          <w:szCs w:val="30"/>
        </w:rPr>
        <w:t>指南意图：</w:t>
      </w:r>
      <w:r>
        <w:rPr>
          <w:rFonts w:hint="eastAsia" w:ascii="仿宋" w:hAnsi="仿宋" w:eastAsia="仿宋" w:cs="仿宋"/>
          <w:sz w:val="30"/>
          <w:szCs w:val="30"/>
        </w:rPr>
        <w:t>（1）研究以岗位胜任力培养为导向的开放教育专业与课程体系建设改革方案；（2）研究多模态、智能化课程资源建设内容与机制；（3）研究“人工智能+”教学模式构建与实践探索；（4）研究智能教学系统功能构建；（5）研究数据驱动的开放教育质量认证标准和保障体系。</w:t>
      </w:r>
    </w:p>
    <w:p w14:paraId="3C074F2B">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仿宋" w:hAnsi="仿宋" w:eastAsia="仿宋" w:cs="仿宋"/>
          <w:sz w:val="30"/>
          <w:szCs w:val="30"/>
        </w:rPr>
      </w:pPr>
      <w:r>
        <w:rPr>
          <w:rFonts w:hint="eastAsia" w:ascii="仿宋" w:hAnsi="仿宋" w:eastAsia="仿宋" w:cs="仿宋"/>
          <w:sz w:val="30"/>
          <w:szCs w:val="30"/>
        </w:rPr>
        <w:t>8.数智赋能开放教育教师队伍建设研究（一般）</w:t>
      </w:r>
    </w:p>
    <w:p w14:paraId="750D158C">
      <w:pPr>
        <w:keepNext w:val="0"/>
        <w:keepLines w:val="0"/>
        <w:pageBreakBefore w:val="0"/>
        <w:widowControl w:val="0"/>
        <w:kinsoku/>
        <w:wordWrap/>
        <w:overflowPunct/>
        <w:topLinePunct w:val="0"/>
        <w:autoSpaceDE/>
        <w:autoSpaceDN/>
        <w:bidi w:val="0"/>
        <w:adjustRightInd/>
        <w:snapToGrid/>
        <w:spacing w:line="520" w:lineRule="exact"/>
        <w:ind w:firstLine="602"/>
        <w:textAlignment w:val="auto"/>
        <w:rPr>
          <w:rFonts w:hint="eastAsia" w:ascii="仿宋" w:hAnsi="仿宋" w:eastAsia="仿宋" w:cs="仿宋"/>
          <w:sz w:val="30"/>
          <w:szCs w:val="30"/>
        </w:rPr>
      </w:pPr>
      <w:r>
        <w:rPr>
          <w:rFonts w:hint="eastAsia" w:ascii="仿宋" w:hAnsi="仿宋" w:eastAsia="仿宋" w:cs="仿宋"/>
          <w:b/>
          <w:bCs/>
          <w:sz w:val="30"/>
          <w:szCs w:val="30"/>
        </w:rPr>
        <w:t>指南意图：</w:t>
      </w:r>
      <w:r>
        <w:rPr>
          <w:rFonts w:hint="eastAsia" w:ascii="仿宋" w:hAnsi="仿宋" w:eastAsia="仿宋" w:cs="仿宋"/>
          <w:sz w:val="30"/>
          <w:szCs w:val="30"/>
        </w:rPr>
        <w:t>（1）调研当前我国开放教育教师队伍建设现状与发展需求；（2）研究以教育家精神为引领的开放教育未来教师队伍建设的内涵定位；（3）研究构建“国家-省-市-县”四级纵向贯通的开放教育办学体系教师队伍建设发展模式；（4）研究数智教育教学模式下的未来教师能力建设路径；（5）提出数智赋能开放教育教师队伍建设的措施、机制和政策建议。</w:t>
      </w:r>
    </w:p>
    <w:p w14:paraId="278D3606">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仿宋" w:hAnsi="仿宋" w:eastAsia="仿宋" w:cs="仿宋"/>
          <w:sz w:val="30"/>
          <w:szCs w:val="30"/>
        </w:rPr>
      </w:pPr>
      <w:r>
        <w:rPr>
          <w:rFonts w:hint="eastAsia" w:ascii="仿宋" w:hAnsi="仿宋" w:eastAsia="仿宋" w:cs="仿宋"/>
          <w:sz w:val="30"/>
          <w:szCs w:val="30"/>
        </w:rPr>
        <w:t>9.数字终身教育国际化理论及实践路径研究（一般）</w:t>
      </w:r>
    </w:p>
    <w:p w14:paraId="41D6816C">
      <w:pPr>
        <w:keepNext w:val="0"/>
        <w:keepLines w:val="0"/>
        <w:pageBreakBefore w:val="0"/>
        <w:widowControl w:val="0"/>
        <w:kinsoku/>
        <w:wordWrap/>
        <w:overflowPunct/>
        <w:topLinePunct w:val="0"/>
        <w:autoSpaceDE/>
        <w:autoSpaceDN/>
        <w:bidi w:val="0"/>
        <w:adjustRightInd/>
        <w:snapToGrid/>
        <w:spacing w:line="520" w:lineRule="exact"/>
        <w:ind w:firstLine="602"/>
        <w:textAlignment w:val="auto"/>
        <w:rPr>
          <w:rFonts w:hint="eastAsia" w:ascii="仿宋" w:hAnsi="仿宋" w:eastAsia="仿宋" w:cs="仿宋"/>
          <w:sz w:val="30"/>
          <w:szCs w:val="30"/>
        </w:rPr>
      </w:pPr>
      <w:r>
        <w:rPr>
          <w:rFonts w:hint="eastAsia" w:ascii="仿宋" w:hAnsi="仿宋" w:eastAsia="仿宋" w:cs="仿宋"/>
          <w:b/>
          <w:bCs/>
          <w:sz w:val="30"/>
          <w:szCs w:val="30"/>
        </w:rPr>
        <w:t>指南意图：</w:t>
      </w:r>
      <w:r>
        <w:rPr>
          <w:rFonts w:hint="eastAsia" w:ascii="仿宋" w:hAnsi="仿宋" w:eastAsia="仿宋" w:cs="仿宋"/>
          <w:sz w:val="30"/>
          <w:szCs w:val="30"/>
        </w:rPr>
        <w:t>（1）开展主要国家开放大学等终身教育机构推进数字教育国际化的比较研究；（2）评估国家开放大学海外学习中心建设发展相关政策以及跨境数字教育项目的实施效果；（3）研究不同区域、不同文化的数字教育国际合作模式；（4）提出基于多元协作的数字教育国际化发展推进策略。</w:t>
      </w:r>
    </w:p>
    <w:p w14:paraId="328391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C0C74"/>
    <w:rsid w:val="076C0C74"/>
    <w:rsid w:val="2AC6321C"/>
    <w:rsid w:val="534B2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1802</Words>
  <Characters>1926</Characters>
  <Lines>0</Lines>
  <Paragraphs>0</Paragraphs>
  <TotalTime>0</TotalTime>
  <ScaleCrop>false</ScaleCrop>
  <LinksUpToDate>false</LinksUpToDate>
  <CharactersWithSpaces>1926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2025-04-27T13:04:00Z</dcterms:created>
  <dc:creator>M</dc:creator>
  <cp:lastModifiedBy>M</cp:lastModifiedBy>
  <dcterms:modified xsi:type="dcterms:W3CDTF">2025-04-27T13:18:09Z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5684C6A259B04306A63E5B30C81B4624_11</vt:lpwstr>
  </property>
  <property fmtid="{D5CDD505-2E9C-101B-9397-08002B2CF9AE}" pid="4" name="KSOTemplateDocerSaveRecord">
    <vt:lpwstr>eyJoZGlkIjoiZDM1ZGY2ODc5ZGY0MDk4ZTk0YTQwY2JkMDBkOTdiMjYiLCJ1c2VySWQiOiIxNDc3NDg2NSJ9</vt:lpwstr>
  </property>
</Properties>
</file>